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D26A" w14:textId="43851ED8" w:rsidR="00B501D9" w:rsidRPr="00AE7A18" w:rsidRDefault="00672B26" w:rsidP="00B501D9">
      <w:pPr>
        <w:rPr>
          <w:rFonts w:ascii="Arial" w:hAnsi="Arial" w:cs="Arial"/>
          <w:b/>
          <w:bCs/>
          <w:sz w:val="20"/>
          <w:szCs w:val="20"/>
        </w:rPr>
      </w:pPr>
      <w:r>
        <w:rPr>
          <w:rFonts w:ascii="Arial" w:hAnsi="Arial"/>
          <w:noProof/>
        </w:rPr>
        <w:drawing>
          <wp:anchor distT="0" distB="0" distL="114300" distR="114300" simplePos="0" relativeHeight="251658240" behindDoc="1" locked="0" layoutInCell="1" allowOverlap="1" wp14:anchorId="14DB0BE4" wp14:editId="5592FB14">
            <wp:simplePos x="0" y="0"/>
            <wp:positionH relativeFrom="margin">
              <wp:posOffset>4396105</wp:posOffset>
            </wp:positionH>
            <wp:positionV relativeFrom="topMargin">
              <wp:posOffset>339090</wp:posOffset>
            </wp:positionV>
            <wp:extent cx="1335405" cy="430530"/>
            <wp:effectExtent l="0" t="0" r="0" b="762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405"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rPr>
        <w:drawing>
          <wp:anchor distT="0" distB="0" distL="114300" distR="114300" simplePos="0" relativeHeight="251658241" behindDoc="0" locked="0" layoutInCell="1" allowOverlap="1" wp14:anchorId="53A398A3" wp14:editId="64FD0E6C">
            <wp:simplePos x="0" y="0"/>
            <wp:positionH relativeFrom="margin">
              <wp:posOffset>0</wp:posOffset>
            </wp:positionH>
            <wp:positionV relativeFrom="page">
              <wp:posOffset>174625</wp:posOffset>
            </wp:positionV>
            <wp:extent cx="1216025" cy="628015"/>
            <wp:effectExtent l="0" t="0" r="317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298" r="20459" b="8575"/>
                    <a:stretch/>
                  </pic:blipFill>
                  <pic:spPr bwMode="auto">
                    <a:xfrm>
                      <a:off x="0" y="0"/>
                      <a:ext cx="1216025"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CB56FE" w14:textId="7850C956" w:rsidR="00672B26" w:rsidRPr="00AE7A18" w:rsidRDefault="000312FB" w:rsidP="00672B26">
      <w:pPr>
        <w:spacing w:after="0"/>
        <w:jc w:val="center"/>
        <w:rPr>
          <w:rFonts w:ascii="Arial" w:hAnsi="Arial" w:cs="Arial"/>
          <w:b/>
          <w:bCs/>
          <w:sz w:val="20"/>
          <w:szCs w:val="20"/>
        </w:rPr>
      </w:pPr>
      <w:r>
        <w:rPr>
          <w:rFonts w:ascii="Arial" w:hAnsi="Arial"/>
          <w:b/>
          <w:sz w:val="20"/>
        </w:rPr>
        <w:t xml:space="preserve">Pierre Fabre va commercialiser et distribuer la première immunothérapie allogénique à lymphocytes T en Europe suite au transfert de l’autorisation de mise sur le marché accordée par la Commission européenne pour </w:t>
      </w:r>
      <w:proofErr w:type="spellStart"/>
      <w:r w:rsidR="008D5921">
        <w:rPr>
          <w:rFonts w:ascii="Arial" w:hAnsi="Arial"/>
          <w:b/>
          <w:sz w:val="20"/>
        </w:rPr>
        <w:t>EBVALLO</w:t>
      </w:r>
      <w:proofErr w:type="spellEnd"/>
      <w:r>
        <w:rPr>
          <w:rFonts w:ascii="Arial" w:hAnsi="Arial"/>
          <w:b/>
          <w:sz w:val="20"/>
          <w:shd w:val="clear" w:color="auto" w:fill="FFFFFF"/>
          <w:vertAlign w:val="superscript"/>
        </w:rPr>
        <w:t>®</w:t>
      </w:r>
      <w:r>
        <w:rPr>
          <w:rFonts w:ascii="Arial" w:hAnsi="Arial"/>
          <w:b/>
          <w:sz w:val="20"/>
        </w:rPr>
        <w:t xml:space="preserve"> (</w:t>
      </w:r>
      <w:proofErr w:type="spellStart"/>
      <w:r>
        <w:rPr>
          <w:rFonts w:ascii="Arial" w:hAnsi="Arial"/>
          <w:b/>
          <w:sz w:val="20"/>
        </w:rPr>
        <w:t>tabelecleucel</w:t>
      </w:r>
      <w:proofErr w:type="spellEnd"/>
      <w:r>
        <w:rPr>
          <w:rFonts w:ascii="Arial" w:hAnsi="Arial"/>
          <w:b/>
          <w:sz w:val="20"/>
        </w:rPr>
        <w:t xml:space="preserve">) </w:t>
      </w:r>
    </w:p>
    <w:p w14:paraId="2889D45A" w14:textId="77777777" w:rsidR="00A9726A" w:rsidRPr="00206BFB" w:rsidRDefault="00A9726A" w:rsidP="00A9726A">
      <w:pPr>
        <w:spacing w:after="0"/>
        <w:jc w:val="center"/>
        <w:rPr>
          <w:rFonts w:ascii="Arial" w:hAnsi="Arial" w:cs="Arial"/>
          <w:b/>
          <w:bCs/>
          <w:i/>
          <w:iCs/>
          <w:sz w:val="20"/>
          <w:szCs w:val="20"/>
        </w:rPr>
      </w:pPr>
    </w:p>
    <w:p w14:paraId="04A0DBEB" w14:textId="55B1CC60" w:rsidR="00A351A4" w:rsidRPr="00853BAA" w:rsidRDefault="00A351A4" w:rsidP="00A9726A">
      <w:pPr>
        <w:spacing w:after="0"/>
        <w:jc w:val="center"/>
        <w:rPr>
          <w:rStyle w:val="normaltextrun"/>
          <w:rFonts w:ascii="Arial" w:hAnsi="Arial" w:cs="Arial"/>
          <w:i/>
          <w:iCs/>
          <w:color w:val="000000"/>
          <w:sz w:val="20"/>
          <w:szCs w:val="20"/>
          <w:shd w:val="clear" w:color="auto" w:fill="FFFFFF"/>
        </w:rPr>
      </w:pPr>
      <w:r w:rsidRPr="00853BAA">
        <w:rPr>
          <w:rStyle w:val="normaltextrun"/>
          <w:rFonts w:ascii="Arial" w:hAnsi="Arial" w:cs="Arial"/>
          <w:i/>
          <w:iCs/>
          <w:color w:val="000000"/>
          <w:sz w:val="20"/>
          <w:szCs w:val="20"/>
          <w:shd w:val="clear" w:color="auto" w:fill="FFFFFF"/>
        </w:rPr>
        <w:t>Pierre Fabre dirigera les activités de lancement et de commercialisation d’E</w:t>
      </w:r>
      <w:r w:rsidR="008D5921" w:rsidRPr="00853BAA">
        <w:rPr>
          <w:rStyle w:val="normaltextrun"/>
          <w:rFonts w:ascii="Arial" w:hAnsi="Arial" w:cs="Arial"/>
          <w:i/>
          <w:iCs/>
          <w:color w:val="000000"/>
          <w:sz w:val="20"/>
          <w:szCs w:val="20"/>
          <w:shd w:val="clear" w:color="auto" w:fill="FFFFFF"/>
        </w:rPr>
        <w:t>BVALLO</w:t>
      </w:r>
      <w:r w:rsidRPr="00853BAA">
        <w:rPr>
          <w:rStyle w:val="normaltextrun"/>
          <w:rFonts w:cs="Arial"/>
          <w:i/>
          <w:iCs/>
          <w:color w:val="000000"/>
          <w:szCs w:val="20"/>
        </w:rPr>
        <w:t xml:space="preserve">® en Europe </w:t>
      </w:r>
      <w:r w:rsidRPr="00853BAA">
        <w:rPr>
          <w:rStyle w:val="normaltextrun"/>
          <w:rFonts w:ascii="Arial" w:hAnsi="Arial" w:cs="Arial"/>
          <w:i/>
          <w:iCs/>
          <w:color w:val="000000"/>
          <w:sz w:val="20"/>
          <w:szCs w:val="20"/>
          <w:shd w:val="clear" w:color="auto" w:fill="FFFFFF"/>
        </w:rPr>
        <w:t xml:space="preserve">après le transfert de l’autorisation de mise sur le marché accordée par la Commission européenne à </w:t>
      </w:r>
      <w:proofErr w:type="spellStart"/>
      <w:r w:rsidRPr="00853BAA">
        <w:rPr>
          <w:rStyle w:val="normaltextrun"/>
          <w:rFonts w:ascii="Arial" w:hAnsi="Arial" w:cs="Arial"/>
          <w:i/>
          <w:iCs/>
          <w:color w:val="000000"/>
          <w:sz w:val="20"/>
          <w:szCs w:val="20"/>
          <w:shd w:val="clear" w:color="auto" w:fill="FFFFFF"/>
        </w:rPr>
        <w:t>Atara</w:t>
      </w:r>
      <w:proofErr w:type="spellEnd"/>
      <w:r w:rsidRPr="00853BAA">
        <w:rPr>
          <w:rStyle w:val="normaltextrun"/>
          <w:rFonts w:ascii="Arial" w:hAnsi="Arial" w:cs="Arial"/>
          <w:i/>
          <w:iCs/>
          <w:color w:val="000000"/>
          <w:sz w:val="20"/>
          <w:szCs w:val="20"/>
          <w:shd w:val="clear" w:color="auto" w:fill="FFFFFF"/>
        </w:rPr>
        <w:t xml:space="preserve"> </w:t>
      </w:r>
      <w:proofErr w:type="spellStart"/>
      <w:r w:rsidRPr="00853BAA">
        <w:rPr>
          <w:rStyle w:val="normaltextrun"/>
          <w:rFonts w:ascii="Arial" w:hAnsi="Arial" w:cs="Arial"/>
          <w:i/>
          <w:iCs/>
          <w:color w:val="000000"/>
          <w:sz w:val="20"/>
          <w:szCs w:val="20"/>
          <w:shd w:val="clear" w:color="auto" w:fill="FFFFFF"/>
        </w:rPr>
        <w:t>Biotherapeutics</w:t>
      </w:r>
      <w:proofErr w:type="spellEnd"/>
    </w:p>
    <w:p w14:paraId="78DABDBC" w14:textId="77777777" w:rsidR="00A351A4" w:rsidRPr="00206BFB" w:rsidRDefault="00A351A4" w:rsidP="00A9726A">
      <w:pPr>
        <w:spacing w:after="0"/>
        <w:jc w:val="center"/>
        <w:rPr>
          <w:rStyle w:val="normaltextrun"/>
          <w:rFonts w:ascii="Arial" w:hAnsi="Arial" w:cs="Arial"/>
          <w:i/>
          <w:iCs/>
          <w:color w:val="000000"/>
          <w:sz w:val="20"/>
          <w:szCs w:val="20"/>
          <w:shd w:val="clear" w:color="auto" w:fill="FFFFFF"/>
        </w:rPr>
      </w:pPr>
    </w:p>
    <w:p w14:paraId="6889FA51" w14:textId="013735A9" w:rsidR="00662EE4" w:rsidRPr="008D5921" w:rsidRDefault="0096318F" w:rsidP="00A9726A">
      <w:pPr>
        <w:spacing w:after="0"/>
        <w:jc w:val="center"/>
        <w:rPr>
          <w:rStyle w:val="normaltextrun"/>
          <w:rFonts w:ascii="Arial" w:hAnsi="Arial" w:cs="Arial"/>
          <w:i/>
          <w:iCs/>
          <w:color w:val="000000"/>
          <w:sz w:val="20"/>
          <w:szCs w:val="20"/>
          <w:shd w:val="clear" w:color="auto" w:fill="FFFFFF"/>
        </w:rPr>
      </w:pPr>
      <w:proofErr w:type="spellStart"/>
      <w:r w:rsidRPr="008D5921">
        <w:rPr>
          <w:rStyle w:val="normaltextrun"/>
          <w:rFonts w:ascii="Arial" w:hAnsi="Arial" w:cs="Arial"/>
          <w:i/>
          <w:iCs/>
          <w:color w:val="000000"/>
          <w:sz w:val="20"/>
          <w:szCs w:val="20"/>
          <w:shd w:val="clear" w:color="auto" w:fill="FFFFFF"/>
        </w:rPr>
        <w:t>Ebvallo</w:t>
      </w:r>
      <w:proofErr w:type="spellEnd"/>
      <w:r w:rsidRPr="00853BAA">
        <w:rPr>
          <w:rStyle w:val="normaltextrun"/>
          <w:rFonts w:ascii="Arial" w:hAnsi="Arial" w:cs="Arial"/>
          <w:i/>
          <w:iCs/>
          <w:color w:val="000000"/>
          <w:sz w:val="20"/>
          <w:szCs w:val="20"/>
          <w:shd w:val="clear" w:color="auto" w:fill="FFFFFF"/>
          <w:vertAlign w:val="superscript"/>
        </w:rPr>
        <w:t>®</w:t>
      </w:r>
      <w:r w:rsidRPr="008D5921">
        <w:rPr>
          <w:rStyle w:val="normaltextrun"/>
          <w:rFonts w:ascii="Arial" w:hAnsi="Arial" w:cs="Arial"/>
          <w:i/>
          <w:iCs/>
          <w:color w:val="000000"/>
          <w:sz w:val="20"/>
          <w:szCs w:val="20"/>
          <w:shd w:val="clear" w:color="auto" w:fill="FFFFFF"/>
        </w:rPr>
        <w:t xml:space="preserve"> est le seul traitement approuvé pour les patients atteints d’une maladie lymphoproliférative post-transplantation positive au virus d’Epstein-Barr (LPT EBV+) récidivante ou réfractaire dans l’Union européenne</w:t>
      </w:r>
    </w:p>
    <w:p w14:paraId="1633E6BC" w14:textId="77777777" w:rsidR="00A9726A" w:rsidRPr="00206BFB" w:rsidRDefault="00A9726A" w:rsidP="00A9726A">
      <w:pPr>
        <w:spacing w:after="0"/>
        <w:jc w:val="center"/>
        <w:rPr>
          <w:rStyle w:val="normaltextrun"/>
          <w:rFonts w:ascii="Arial" w:hAnsi="Arial" w:cs="Arial"/>
          <w:color w:val="000000"/>
          <w:sz w:val="20"/>
          <w:szCs w:val="20"/>
          <w:shd w:val="clear" w:color="auto" w:fill="FFFFFF"/>
        </w:rPr>
      </w:pPr>
    </w:p>
    <w:p w14:paraId="0D76E17F" w14:textId="68952EAD" w:rsidR="008A1548" w:rsidRDefault="4A828FED" w:rsidP="00AC2372">
      <w:pPr>
        <w:spacing w:after="0"/>
        <w:rPr>
          <w:rFonts w:ascii="Arial" w:hAnsi="Arial" w:cs="Arial"/>
          <w:sz w:val="20"/>
          <w:szCs w:val="20"/>
          <w:shd w:val="clear" w:color="auto" w:fill="FFFFFF"/>
        </w:rPr>
      </w:pPr>
      <w:r>
        <w:rPr>
          <w:rFonts w:ascii="Arial" w:hAnsi="Arial"/>
          <w:sz w:val="20"/>
        </w:rPr>
        <w:t>CASTRES, France et THOUSAND OAKS, Californie</w:t>
      </w:r>
      <w:r w:rsidR="005D25D9">
        <w:rPr>
          <w:rFonts w:ascii="Arial" w:hAnsi="Arial"/>
          <w:sz w:val="20"/>
        </w:rPr>
        <w:t xml:space="preserve"> USA -</w:t>
      </w:r>
      <w:r>
        <w:rPr>
          <w:rFonts w:ascii="Arial" w:hAnsi="Arial"/>
          <w:sz w:val="20"/>
        </w:rPr>
        <w:t xml:space="preserve"> </w:t>
      </w:r>
      <w:r w:rsidR="00BF53EF" w:rsidRPr="00BF53EF">
        <w:rPr>
          <w:rFonts w:ascii="Arial" w:hAnsi="Arial"/>
          <w:bCs/>
          <w:sz w:val="20"/>
        </w:rPr>
        <w:t>8 février 2023</w:t>
      </w:r>
      <w:r>
        <w:rPr>
          <w:rFonts w:ascii="Arial" w:hAnsi="Arial"/>
          <w:b/>
          <w:sz w:val="20"/>
        </w:rPr>
        <w:t xml:space="preserve"> </w:t>
      </w:r>
      <w:r w:rsidR="005D25D9">
        <w:rPr>
          <w:rFonts w:ascii="Arial" w:hAnsi="Arial"/>
          <w:sz w:val="20"/>
        </w:rPr>
        <w:t>-</w:t>
      </w:r>
      <w:r>
        <w:rPr>
          <w:rFonts w:ascii="Arial" w:hAnsi="Arial"/>
          <w:sz w:val="20"/>
        </w:rPr>
        <w:t xml:space="preserve"> </w:t>
      </w:r>
      <w:hyperlink r:id="rId13" w:history="1">
        <w:r>
          <w:rPr>
            <w:rStyle w:val="Lienhypertexte"/>
            <w:rFonts w:ascii="Arial" w:hAnsi="Arial"/>
            <w:sz w:val="20"/>
            <w:szCs w:val="20"/>
          </w:rPr>
          <w:t>Pierre Fabre</w:t>
        </w:r>
      </w:hyperlink>
      <w:r>
        <w:rPr>
          <w:rFonts w:ascii="Arial" w:hAnsi="Arial"/>
          <w:sz w:val="20"/>
        </w:rPr>
        <w:t xml:space="preserve"> et </w:t>
      </w:r>
      <w:hyperlink r:id="rId14">
        <w:r>
          <w:rPr>
            <w:rStyle w:val="Lienhypertexte"/>
            <w:rFonts w:ascii="Arial" w:hAnsi="Arial"/>
            <w:sz w:val="20"/>
            <w:szCs w:val="20"/>
          </w:rPr>
          <w:t>Atara Biotherapeutics, Inc.</w:t>
        </w:r>
      </w:hyperlink>
      <w:r>
        <w:rPr>
          <w:rFonts w:ascii="Arial" w:hAnsi="Arial"/>
          <w:color w:val="000000" w:themeColor="text1"/>
          <w:sz w:val="20"/>
        </w:rPr>
        <w:t xml:space="preserve"> </w:t>
      </w:r>
      <w:r w:rsidRPr="008D5921">
        <w:rPr>
          <w:rFonts w:ascii="Arial" w:hAnsi="Arial" w:cs="Arial"/>
          <w:color w:val="000000" w:themeColor="text1"/>
          <w:sz w:val="20"/>
          <w:szCs w:val="20"/>
        </w:rPr>
        <w:t>(Nasdaq : ATRA) ont annoncé aujourd’hui le transfert d’</w:t>
      </w:r>
      <w:proofErr w:type="spellStart"/>
      <w:r w:rsidRPr="008D5921">
        <w:rPr>
          <w:rFonts w:ascii="Arial" w:hAnsi="Arial" w:cs="Arial"/>
          <w:color w:val="000000" w:themeColor="text1"/>
          <w:sz w:val="20"/>
          <w:szCs w:val="20"/>
        </w:rPr>
        <w:t>Atara</w:t>
      </w:r>
      <w:proofErr w:type="spellEnd"/>
      <w:r w:rsidRPr="008D5921">
        <w:rPr>
          <w:rFonts w:ascii="Arial" w:hAnsi="Arial" w:cs="Arial"/>
          <w:color w:val="000000" w:themeColor="text1"/>
          <w:sz w:val="20"/>
          <w:szCs w:val="20"/>
        </w:rPr>
        <w:t xml:space="preserve"> à Pierre Fabre de l’autorisation de mise sur le marché (AMM) accordée par la Commission européenne </w:t>
      </w:r>
      <w:r w:rsidR="00003D7C">
        <w:rPr>
          <w:rFonts w:ascii="Arial" w:hAnsi="Arial" w:cs="Arial"/>
          <w:color w:val="000000" w:themeColor="text1"/>
          <w:sz w:val="20"/>
          <w:szCs w:val="20"/>
        </w:rPr>
        <w:t>à</w:t>
      </w:r>
      <w:r w:rsidRPr="008D5921">
        <w:rPr>
          <w:rFonts w:ascii="Arial" w:hAnsi="Arial" w:cs="Arial"/>
          <w:color w:val="000000" w:themeColor="text1"/>
          <w:sz w:val="20"/>
          <w:szCs w:val="20"/>
        </w:rPr>
        <w:t xml:space="preserve"> </w:t>
      </w:r>
      <w:proofErr w:type="spellStart"/>
      <w:r w:rsidR="00AF30CF">
        <w:rPr>
          <w:rFonts w:ascii="Arial" w:hAnsi="Arial" w:cs="Arial"/>
          <w:color w:val="000000" w:themeColor="text1"/>
          <w:sz w:val="20"/>
          <w:szCs w:val="20"/>
        </w:rPr>
        <w:t>EBVALLO</w:t>
      </w:r>
      <w:proofErr w:type="spellEnd"/>
      <w:r w:rsidRPr="00AD0C5F">
        <w:rPr>
          <w:rFonts w:ascii="Arial" w:hAnsi="Arial" w:cs="Arial"/>
          <w:color w:val="000000" w:themeColor="text1"/>
          <w:sz w:val="20"/>
          <w:szCs w:val="20"/>
          <w:vertAlign w:val="superscript"/>
        </w:rPr>
        <w:t>®</w:t>
      </w:r>
      <w:r w:rsidRPr="008D5921">
        <w:rPr>
          <w:rFonts w:ascii="Arial" w:hAnsi="Arial" w:cs="Arial"/>
          <w:color w:val="000000" w:themeColor="text1"/>
          <w:sz w:val="20"/>
          <w:szCs w:val="20"/>
        </w:rPr>
        <w:t xml:space="preserve"> (</w:t>
      </w:r>
      <w:proofErr w:type="spellStart"/>
      <w:r w:rsidRPr="008D5921">
        <w:rPr>
          <w:rFonts w:ascii="Arial" w:hAnsi="Arial" w:cs="Arial"/>
          <w:color w:val="000000" w:themeColor="text1"/>
          <w:sz w:val="20"/>
          <w:szCs w:val="20"/>
        </w:rPr>
        <w:t>tabelecleucel</w:t>
      </w:r>
      <w:proofErr w:type="spellEnd"/>
      <w:r w:rsidRPr="008D5921">
        <w:rPr>
          <w:rFonts w:ascii="Arial" w:hAnsi="Arial" w:cs="Arial"/>
          <w:color w:val="000000" w:themeColor="text1"/>
          <w:sz w:val="20"/>
          <w:szCs w:val="20"/>
        </w:rPr>
        <w:t xml:space="preserve">) pour le traitement des patients atteints d’une maladie lymphoproliférative post-transplantation positive au virus d’Epstein-Barr (LPT EBV+) récidivante ou réfractaire. </w:t>
      </w:r>
      <w:r w:rsidRPr="00206BFB">
        <w:rPr>
          <w:rFonts w:ascii="Arial" w:hAnsi="Arial" w:cs="Arial"/>
          <w:color w:val="000000" w:themeColor="text1"/>
          <w:sz w:val="20"/>
          <w:szCs w:val="20"/>
        </w:rPr>
        <w:t xml:space="preserve">À compter d’aujourd’hui, Pierre Fabre dirigera l’ensemble des activités de commercialisation et de distribution, ainsi que les activités médicales et réglementaires en Europe, au Moyen-Orient, en Afrique et dans d’autres marchés. </w:t>
      </w:r>
      <w:r w:rsidRPr="008D5921">
        <w:rPr>
          <w:rFonts w:ascii="Arial" w:hAnsi="Arial" w:cs="Arial"/>
          <w:color w:val="000000" w:themeColor="text1"/>
          <w:sz w:val="20"/>
          <w:szCs w:val="20"/>
        </w:rPr>
        <w:t xml:space="preserve">Pierre Fabre prévoit de commercialiser </w:t>
      </w:r>
      <w:r w:rsidR="00AF30CF">
        <w:rPr>
          <w:rFonts w:ascii="Arial" w:hAnsi="Arial" w:cs="Arial"/>
          <w:color w:val="000000" w:themeColor="text1"/>
          <w:sz w:val="20"/>
          <w:szCs w:val="20"/>
        </w:rPr>
        <w:t>EBVALLO</w:t>
      </w:r>
      <w:r w:rsidRPr="00AF30CF">
        <w:rPr>
          <w:rFonts w:ascii="Arial" w:hAnsi="Arial" w:cs="Arial"/>
          <w:color w:val="000000" w:themeColor="text1"/>
          <w:sz w:val="20"/>
          <w:szCs w:val="20"/>
          <w:vertAlign w:val="superscript"/>
        </w:rPr>
        <w:t>®</w:t>
      </w:r>
      <w:r w:rsidRPr="008D5921">
        <w:rPr>
          <w:rFonts w:ascii="Arial" w:hAnsi="Arial" w:cs="Arial"/>
          <w:color w:val="000000" w:themeColor="text1"/>
          <w:sz w:val="20"/>
          <w:szCs w:val="20"/>
        </w:rPr>
        <w:t xml:space="preserve"> dans les premiers pays européens au cours du premier trimestre 2023.</w:t>
      </w:r>
    </w:p>
    <w:p w14:paraId="3205800B" w14:textId="77777777" w:rsidR="00A9726A" w:rsidRPr="00206BFB" w:rsidRDefault="00A9726A" w:rsidP="00A9726A">
      <w:pPr>
        <w:spacing w:after="0"/>
        <w:rPr>
          <w:rFonts w:ascii="Arial" w:hAnsi="Arial" w:cs="Arial"/>
          <w:sz w:val="20"/>
          <w:szCs w:val="20"/>
          <w:shd w:val="clear" w:color="auto" w:fill="FFFFFF"/>
        </w:rPr>
      </w:pPr>
    </w:p>
    <w:p w14:paraId="5E364431" w14:textId="5D44686A" w:rsidR="008A1548" w:rsidRPr="00206BFB" w:rsidRDefault="41CE158E" w:rsidP="00A9726A">
      <w:pPr>
        <w:spacing w:after="0"/>
        <w:rPr>
          <w:rFonts w:asciiTheme="minorBidi" w:hAnsiTheme="minorBidi"/>
          <w:sz w:val="20"/>
          <w:szCs w:val="20"/>
          <w:shd w:val="clear" w:color="auto" w:fill="FFFFFF"/>
        </w:rPr>
      </w:pPr>
      <w:r w:rsidRPr="008D5921">
        <w:rPr>
          <w:rFonts w:ascii="Arial" w:hAnsi="Arial" w:cs="Arial"/>
          <w:i/>
          <w:iCs/>
          <w:sz w:val="20"/>
          <w:szCs w:val="20"/>
          <w:shd w:val="clear" w:color="auto" w:fill="FFFFFF"/>
        </w:rPr>
        <w:t xml:space="preserve">« Nous nous réjouissons que Pierre Fabre puisse proposer </w:t>
      </w:r>
      <w:r w:rsidR="00524C2D">
        <w:rPr>
          <w:rFonts w:ascii="Arial" w:hAnsi="Arial" w:cs="Arial"/>
          <w:i/>
          <w:iCs/>
          <w:sz w:val="20"/>
          <w:szCs w:val="20"/>
          <w:shd w:val="clear" w:color="auto" w:fill="FFFFFF"/>
        </w:rPr>
        <w:t>EBVALLO</w:t>
      </w:r>
      <w:r w:rsidRPr="00524C2D">
        <w:rPr>
          <w:rFonts w:ascii="Arial" w:hAnsi="Arial" w:cs="Arial"/>
          <w:i/>
          <w:iCs/>
          <w:sz w:val="20"/>
          <w:szCs w:val="20"/>
          <w:shd w:val="clear" w:color="auto" w:fill="FFFFFF"/>
          <w:vertAlign w:val="superscript"/>
        </w:rPr>
        <w:t>®</w:t>
      </w:r>
      <w:r w:rsidRPr="008D5921">
        <w:rPr>
          <w:rFonts w:ascii="Arial" w:hAnsi="Arial" w:cs="Arial"/>
          <w:i/>
          <w:iCs/>
          <w:sz w:val="20"/>
          <w:szCs w:val="20"/>
          <w:shd w:val="clear" w:color="auto" w:fill="FFFFFF"/>
        </w:rPr>
        <w:t xml:space="preserve"> aux patients atteints d’une maladie lymphoproliférative post-transplantation positive au virus d’Epstein</w:t>
      </w:r>
      <w:r w:rsidR="00524C2D">
        <w:rPr>
          <w:rFonts w:ascii="Arial" w:hAnsi="Arial" w:cs="Arial"/>
          <w:i/>
          <w:iCs/>
          <w:sz w:val="20"/>
          <w:szCs w:val="20"/>
          <w:shd w:val="clear" w:color="auto" w:fill="FFFFFF"/>
        </w:rPr>
        <w:t xml:space="preserve"> </w:t>
      </w:r>
      <w:r w:rsidRPr="008D5921">
        <w:rPr>
          <w:rFonts w:ascii="Arial" w:hAnsi="Arial" w:cs="Arial"/>
          <w:i/>
          <w:iCs/>
          <w:sz w:val="20"/>
          <w:szCs w:val="20"/>
          <w:shd w:val="clear" w:color="auto" w:fill="FFFFFF"/>
        </w:rPr>
        <w:t>Barr (LPT EBV+) récidivante ou réfractaire, et ce dans les plus brefs délais,</w:t>
      </w:r>
      <w:r w:rsidRPr="00206BFB">
        <w:rPr>
          <w:rFonts w:asciiTheme="minorBidi" w:hAnsiTheme="minorBidi"/>
        </w:rPr>
        <w:t xml:space="preserve"> </w:t>
      </w:r>
      <w:r w:rsidRPr="008D5921">
        <w:rPr>
          <w:rFonts w:ascii="Arial" w:hAnsi="Arial" w:cs="Arial"/>
          <w:sz w:val="20"/>
          <w:szCs w:val="20"/>
          <w:shd w:val="clear" w:color="auto" w:fill="FFFFFF"/>
        </w:rPr>
        <w:t>déclare Éric Ducournau, directeur général du groupe Pierre Fabre.</w:t>
      </w:r>
      <w:r w:rsidRPr="00206BFB">
        <w:rPr>
          <w:rFonts w:asciiTheme="minorBidi" w:hAnsiTheme="minorBidi"/>
          <w:sz w:val="20"/>
          <w:shd w:val="clear" w:color="auto" w:fill="FFFFFF"/>
        </w:rPr>
        <w:t xml:space="preserve"> </w:t>
      </w:r>
      <w:r w:rsidRPr="00206BFB">
        <w:rPr>
          <w:rFonts w:asciiTheme="minorBidi" w:hAnsiTheme="minorBidi"/>
          <w:i/>
          <w:sz w:val="20"/>
          <w:shd w:val="clear" w:color="auto" w:fill="FFFFFF"/>
        </w:rPr>
        <w:t xml:space="preserve">Notre entreprise a pour vocation d’accélérer le développement et la distribution de traitements innovants pour les tumeurs solides, les hémopathies malignes et les maladies rares. </w:t>
      </w:r>
      <w:r w:rsidR="008E2544">
        <w:rPr>
          <w:rFonts w:asciiTheme="minorBidi" w:hAnsiTheme="minorBidi"/>
          <w:i/>
          <w:sz w:val="20"/>
          <w:shd w:val="clear" w:color="auto" w:fill="FFFFFF"/>
        </w:rPr>
        <w:t>EBVALLO</w:t>
      </w:r>
      <w:r w:rsidRPr="00206BFB">
        <w:rPr>
          <w:rFonts w:asciiTheme="minorBidi" w:hAnsiTheme="minorBidi"/>
          <w:i/>
          <w:sz w:val="20"/>
          <w:vertAlign w:val="superscript"/>
        </w:rPr>
        <w:t>®</w:t>
      </w:r>
      <w:r w:rsidRPr="00206BFB">
        <w:rPr>
          <w:rFonts w:asciiTheme="minorBidi" w:hAnsiTheme="minorBidi"/>
          <w:i/>
          <w:sz w:val="20"/>
        </w:rPr>
        <w:t xml:space="preserve"> étant le seul traitement autorisé en Europe pour les patients atteints de LPT EBV+, il s’agit</w:t>
      </w:r>
      <w:r w:rsidRPr="00206BFB">
        <w:rPr>
          <w:rFonts w:asciiTheme="minorBidi" w:hAnsiTheme="minorBidi"/>
          <w:i/>
          <w:sz w:val="20"/>
          <w:shd w:val="clear" w:color="auto" w:fill="FFFFFF"/>
        </w:rPr>
        <w:t xml:space="preserve"> d’un moment décisif pour les personnes </w:t>
      </w:r>
      <w:r w:rsidRPr="00206BFB">
        <w:rPr>
          <w:rFonts w:asciiTheme="minorBidi" w:hAnsiTheme="minorBidi"/>
          <w:i/>
          <w:sz w:val="20"/>
        </w:rPr>
        <w:t>atteintes</w:t>
      </w:r>
      <w:r w:rsidRPr="00206BFB">
        <w:rPr>
          <w:rFonts w:asciiTheme="minorBidi" w:hAnsiTheme="minorBidi"/>
          <w:i/>
          <w:sz w:val="20"/>
          <w:shd w:val="clear" w:color="auto" w:fill="FFFFFF"/>
        </w:rPr>
        <w:t xml:space="preserve"> de ce cancer rare et </w:t>
      </w:r>
      <w:r w:rsidRPr="00206BFB">
        <w:rPr>
          <w:rFonts w:asciiTheme="minorBidi" w:hAnsiTheme="minorBidi"/>
          <w:i/>
          <w:sz w:val="20"/>
        </w:rPr>
        <w:t>potentiellement mortel</w:t>
      </w:r>
      <w:r w:rsidRPr="00206BFB">
        <w:rPr>
          <w:rFonts w:asciiTheme="minorBidi" w:hAnsiTheme="minorBidi"/>
          <w:i/>
          <w:sz w:val="20"/>
          <w:shd w:val="clear" w:color="auto" w:fill="FFFFFF"/>
        </w:rPr>
        <w:t xml:space="preserve">, et d’une avancée majeure dans la concrétisation de notre engagement à répondre aux défis cliniques </w:t>
      </w:r>
      <w:r w:rsidRPr="00206BFB">
        <w:rPr>
          <w:rFonts w:asciiTheme="minorBidi" w:hAnsiTheme="minorBidi"/>
          <w:i/>
          <w:sz w:val="20"/>
        </w:rPr>
        <w:t xml:space="preserve">par des solutions </w:t>
      </w:r>
      <w:r w:rsidRPr="00206BFB">
        <w:rPr>
          <w:rFonts w:asciiTheme="minorBidi" w:hAnsiTheme="minorBidi"/>
          <w:i/>
          <w:sz w:val="20"/>
          <w:shd w:val="clear" w:color="auto" w:fill="FFFFFF"/>
        </w:rPr>
        <w:t xml:space="preserve">qui étaient autrefois difficilement imaginables. » </w:t>
      </w:r>
    </w:p>
    <w:p w14:paraId="59732DB1" w14:textId="77777777" w:rsidR="00A9726A" w:rsidRPr="00206BFB" w:rsidRDefault="00A9726A" w:rsidP="00A9726A">
      <w:pPr>
        <w:spacing w:after="0"/>
        <w:rPr>
          <w:rFonts w:asciiTheme="minorBidi" w:hAnsiTheme="minorBidi"/>
          <w:sz w:val="20"/>
          <w:szCs w:val="20"/>
          <w:shd w:val="clear" w:color="auto" w:fill="FFFFFF"/>
        </w:rPr>
      </w:pPr>
    </w:p>
    <w:p w14:paraId="6EB4F6EF" w14:textId="08F464BB" w:rsidR="008A1548" w:rsidRPr="00206BFB" w:rsidRDefault="6B4BC174" w:rsidP="00A9726A">
      <w:pPr>
        <w:spacing w:after="0"/>
        <w:rPr>
          <w:rFonts w:asciiTheme="minorBidi" w:hAnsiTheme="minorBidi"/>
          <w:color w:val="000000" w:themeColor="text1"/>
          <w:sz w:val="20"/>
          <w:szCs w:val="20"/>
        </w:rPr>
      </w:pPr>
      <w:r w:rsidRPr="00206BFB">
        <w:rPr>
          <w:rFonts w:ascii="Arial" w:hAnsi="Arial" w:cs="Arial"/>
          <w:sz w:val="20"/>
          <w:szCs w:val="20"/>
          <w:shd w:val="clear" w:color="auto" w:fill="FFFFFF"/>
        </w:rPr>
        <w:t>Le 1</w:t>
      </w:r>
      <w:r w:rsidR="00781B09">
        <w:rPr>
          <w:rFonts w:ascii="Arial" w:hAnsi="Arial" w:cs="Arial"/>
          <w:sz w:val="20"/>
          <w:szCs w:val="20"/>
          <w:shd w:val="clear" w:color="auto" w:fill="FFFFFF"/>
        </w:rPr>
        <w:t>6</w:t>
      </w:r>
      <w:r w:rsidRPr="00206BFB">
        <w:rPr>
          <w:rFonts w:ascii="Arial" w:hAnsi="Arial" w:cs="Arial"/>
          <w:sz w:val="20"/>
          <w:szCs w:val="20"/>
          <w:shd w:val="clear" w:color="auto" w:fill="FFFFFF"/>
        </w:rPr>
        <w:t xml:space="preserve"> décembre 2022, la Commission européenne a accordé une autorisation de mise sur le marché à </w:t>
      </w:r>
      <w:r w:rsidR="00781B09">
        <w:rPr>
          <w:rFonts w:ascii="Arial" w:hAnsi="Arial" w:cs="Arial"/>
          <w:color w:val="000000" w:themeColor="text1"/>
          <w:sz w:val="20"/>
          <w:szCs w:val="20"/>
        </w:rPr>
        <w:t>EBVALLO</w:t>
      </w:r>
      <w:r w:rsidR="00206BFB" w:rsidRPr="00206BFB">
        <w:rPr>
          <w:rFonts w:ascii="Arial" w:hAnsi="Arial" w:cs="Arial"/>
          <w:sz w:val="20"/>
          <w:szCs w:val="20"/>
          <w:shd w:val="clear" w:color="auto" w:fill="FFFFFF"/>
          <w:vertAlign w:val="superscript"/>
        </w:rPr>
        <w:t>®</w:t>
      </w:r>
      <w:r w:rsidR="00206BFB" w:rsidRPr="00206BFB" w:rsidDel="000C0652">
        <w:rPr>
          <w:rFonts w:ascii="Arial" w:hAnsi="Arial" w:cs="Arial"/>
          <w:color w:val="000000" w:themeColor="text1"/>
          <w:sz w:val="20"/>
          <w:szCs w:val="20"/>
        </w:rPr>
        <w:t xml:space="preserve"> </w:t>
      </w:r>
      <w:r w:rsidRPr="00206BFB">
        <w:rPr>
          <w:rFonts w:ascii="Arial" w:hAnsi="Arial" w:cs="Arial"/>
          <w:sz w:val="20"/>
          <w:szCs w:val="20"/>
          <w:shd w:val="clear" w:color="auto" w:fill="FFFFFF"/>
        </w:rPr>
        <w:t xml:space="preserve">en monothérapie pour le traitement de patients adultes et pédiatriques âgés de deux ans et plus atteints d’une maladie lymphoproliférative post-transplantation positive au virus d’Epstein-Barr (LPT EBV+) récidivante ou réfractaire qui ont reçu au moins un traitement antérieur. </w:t>
      </w:r>
      <w:r w:rsidRPr="008D5921">
        <w:rPr>
          <w:rFonts w:ascii="Arial" w:hAnsi="Arial" w:cs="Arial"/>
          <w:sz w:val="20"/>
          <w:szCs w:val="20"/>
          <w:shd w:val="clear" w:color="auto" w:fill="FFFFFF"/>
        </w:rPr>
        <w:t xml:space="preserve">Pour les patients ayant reçu une transplantation d’organe solide, le traitement antérieur comprend la chimiothérapie, sauf si celle-ci est inappropriée. Pour accorder l’autorisation de mise sur le marché, la Commission européenne s’est appuyée sur les résultats de l’étude pivot ALLELE de phase III et d’autres études. </w:t>
      </w:r>
      <w:r w:rsidRPr="00206BFB">
        <w:rPr>
          <w:rFonts w:ascii="Arial" w:hAnsi="Arial" w:cs="Arial"/>
          <w:sz w:val="20"/>
          <w:szCs w:val="20"/>
          <w:shd w:val="clear" w:color="auto" w:fill="FFFFFF"/>
        </w:rPr>
        <w:t>Ces résultats ont montré qu’</w:t>
      </w:r>
      <w:r w:rsidR="00206BFB" w:rsidRPr="00206BFB">
        <w:rPr>
          <w:rFonts w:ascii="Arial" w:hAnsi="Arial" w:cs="Arial"/>
          <w:color w:val="000000" w:themeColor="text1"/>
          <w:sz w:val="20"/>
          <w:szCs w:val="20"/>
        </w:rPr>
        <w:t>E</w:t>
      </w:r>
      <w:r w:rsidR="003128F8">
        <w:rPr>
          <w:rFonts w:ascii="Arial" w:hAnsi="Arial" w:cs="Arial"/>
          <w:color w:val="000000" w:themeColor="text1"/>
          <w:sz w:val="20"/>
          <w:szCs w:val="20"/>
        </w:rPr>
        <w:t>BVALLO</w:t>
      </w:r>
      <w:r w:rsidR="00206BFB" w:rsidRPr="00206BFB">
        <w:rPr>
          <w:rFonts w:ascii="Arial" w:hAnsi="Arial" w:cs="Arial"/>
          <w:sz w:val="20"/>
          <w:szCs w:val="20"/>
          <w:shd w:val="clear" w:color="auto" w:fill="FFFFFF"/>
          <w:vertAlign w:val="superscript"/>
        </w:rPr>
        <w:t>®</w:t>
      </w:r>
      <w:r w:rsidR="00206BFB" w:rsidRPr="00206BFB" w:rsidDel="000C0652">
        <w:rPr>
          <w:rFonts w:ascii="Arial" w:hAnsi="Arial" w:cs="Arial"/>
          <w:color w:val="000000" w:themeColor="text1"/>
          <w:sz w:val="20"/>
          <w:szCs w:val="20"/>
        </w:rPr>
        <w:t xml:space="preserve"> </w:t>
      </w:r>
      <w:r w:rsidRPr="00206BFB">
        <w:rPr>
          <w:rFonts w:ascii="Arial" w:hAnsi="Arial" w:cs="Arial"/>
          <w:sz w:val="20"/>
          <w:szCs w:val="20"/>
          <w:shd w:val="clear" w:color="auto" w:fill="FFFFFF"/>
        </w:rPr>
        <w:t>présentait un profil bénéfices-risques favorable</w:t>
      </w:r>
      <w:r w:rsidRPr="00206BFB">
        <w:rPr>
          <w:rFonts w:asciiTheme="minorBidi" w:hAnsiTheme="minorBidi"/>
          <w:color w:val="000000" w:themeColor="text1"/>
          <w:sz w:val="20"/>
        </w:rPr>
        <w:t>.</w:t>
      </w:r>
      <w:r w:rsidR="003555BE" w:rsidRPr="00206BFB">
        <w:rPr>
          <w:rStyle w:val="Appeldenotedefin"/>
          <w:rFonts w:asciiTheme="minorBidi" w:hAnsiTheme="minorBidi"/>
          <w:color w:val="000000" w:themeColor="text1"/>
          <w:sz w:val="20"/>
          <w:szCs w:val="20"/>
          <w:lang w:val="en-US"/>
        </w:rPr>
        <w:endnoteReference w:id="2"/>
      </w:r>
      <w:r w:rsidRPr="00206BFB">
        <w:rPr>
          <w:rFonts w:asciiTheme="minorBidi" w:hAnsiTheme="minorBidi"/>
          <w:color w:val="000000" w:themeColor="text1"/>
          <w:sz w:val="20"/>
        </w:rPr>
        <w:t xml:space="preserve"> </w:t>
      </w:r>
    </w:p>
    <w:p w14:paraId="3A715188" w14:textId="77777777" w:rsidR="00A9726A" w:rsidRPr="00206BFB" w:rsidRDefault="00A9726A" w:rsidP="00A9726A">
      <w:pPr>
        <w:spacing w:after="0"/>
        <w:rPr>
          <w:rFonts w:asciiTheme="minorBidi" w:hAnsiTheme="minorBidi"/>
          <w:sz w:val="20"/>
          <w:szCs w:val="20"/>
          <w:shd w:val="clear" w:color="auto" w:fill="FFFFFF"/>
        </w:rPr>
      </w:pPr>
    </w:p>
    <w:p w14:paraId="542416EC" w14:textId="2E512610" w:rsidR="0095756F" w:rsidRPr="00206BFB" w:rsidRDefault="004A0C35" w:rsidP="0095756F">
      <w:pPr>
        <w:spacing w:after="0"/>
        <w:rPr>
          <w:rFonts w:asciiTheme="minorBidi" w:hAnsiTheme="minorBidi"/>
          <w:i/>
          <w:iCs/>
          <w:sz w:val="20"/>
          <w:szCs w:val="20"/>
          <w:shd w:val="clear" w:color="auto" w:fill="FFFFFF"/>
        </w:rPr>
      </w:pPr>
      <w:r w:rsidRPr="00206BFB">
        <w:rPr>
          <w:rFonts w:asciiTheme="minorBidi" w:hAnsiTheme="minorBidi"/>
          <w:i/>
          <w:sz w:val="20"/>
          <w:shd w:val="clear" w:color="auto" w:fill="FFFFFF"/>
        </w:rPr>
        <w:t>« Après l’approbation d’E</w:t>
      </w:r>
      <w:r w:rsidR="009B0279">
        <w:rPr>
          <w:rFonts w:asciiTheme="minorBidi" w:hAnsiTheme="minorBidi"/>
          <w:i/>
          <w:sz w:val="20"/>
          <w:shd w:val="clear" w:color="auto" w:fill="FFFFFF"/>
        </w:rPr>
        <w:t>BVALLO</w:t>
      </w:r>
      <w:r w:rsidRPr="00206BFB">
        <w:rPr>
          <w:rFonts w:asciiTheme="minorBidi" w:hAnsiTheme="minorBidi"/>
          <w:i/>
          <w:sz w:val="20"/>
          <w:shd w:val="clear" w:color="auto" w:fill="FFFFFF"/>
          <w:vertAlign w:val="superscript"/>
        </w:rPr>
        <w:t>®</w:t>
      </w:r>
      <w:r w:rsidRPr="00206BFB">
        <w:rPr>
          <w:rFonts w:asciiTheme="minorBidi" w:hAnsiTheme="minorBidi"/>
          <w:i/>
          <w:sz w:val="20"/>
          <w:shd w:val="clear" w:color="auto" w:fill="FFFFFF"/>
        </w:rPr>
        <w:t xml:space="preserve"> dans l’Union européenne, Atara est la première entreprise à se voir accorder une autorisation réglementaire pour l’immunothérapie allogénique à lymphocytes T, ce qui réaffirme le grand intérêt de notre plateforme et de notre approche dans le traitement de l’</w:t>
      </w:r>
      <w:proofErr w:type="spellStart"/>
      <w:r w:rsidRPr="00206BFB">
        <w:rPr>
          <w:rFonts w:asciiTheme="minorBidi" w:hAnsiTheme="minorBidi"/>
          <w:i/>
          <w:sz w:val="20"/>
          <w:shd w:val="clear" w:color="auto" w:fill="FFFFFF"/>
        </w:rPr>
        <w:t>EBV</w:t>
      </w:r>
      <w:proofErr w:type="spellEnd"/>
      <w:r w:rsidRPr="00206BFB">
        <w:rPr>
          <w:rFonts w:asciiTheme="minorBidi" w:hAnsiTheme="minorBidi"/>
          <w:i/>
          <w:sz w:val="20"/>
          <w:shd w:val="clear" w:color="auto" w:fill="FFFFFF"/>
        </w:rPr>
        <w:t xml:space="preserve">, </w:t>
      </w:r>
      <w:r w:rsidRPr="00206BFB">
        <w:rPr>
          <w:rFonts w:asciiTheme="minorBidi" w:hAnsiTheme="minorBidi"/>
          <w:sz w:val="20"/>
          <w:shd w:val="clear" w:color="auto" w:fill="FFFFFF"/>
        </w:rPr>
        <w:t xml:space="preserve">déclare Pascal </w:t>
      </w:r>
      <w:proofErr w:type="spellStart"/>
      <w:r w:rsidRPr="00206BFB">
        <w:rPr>
          <w:rFonts w:asciiTheme="minorBidi" w:hAnsiTheme="minorBidi"/>
          <w:sz w:val="20"/>
          <w:shd w:val="clear" w:color="auto" w:fill="FFFFFF"/>
        </w:rPr>
        <w:t>Touchon</w:t>
      </w:r>
      <w:proofErr w:type="spellEnd"/>
      <w:r w:rsidRPr="00206BFB">
        <w:rPr>
          <w:rFonts w:asciiTheme="minorBidi" w:hAnsiTheme="minorBidi"/>
          <w:sz w:val="20"/>
          <w:shd w:val="clear" w:color="auto" w:fill="FFFFFF"/>
        </w:rPr>
        <w:t>, président-directeur général d’</w:t>
      </w:r>
      <w:proofErr w:type="spellStart"/>
      <w:r w:rsidRPr="00206BFB">
        <w:rPr>
          <w:rFonts w:asciiTheme="minorBidi" w:hAnsiTheme="minorBidi"/>
          <w:sz w:val="20"/>
          <w:shd w:val="clear" w:color="auto" w:fill="FFFFFF"/>
        </w:rPr>
        <w:t>Atara</w:t>
      </w:r>
      <w:proofErr w:type="spellEnd"/>
      <w:r w:rsidRPr="00206BFB">
        <w:rPr>
          <w:rFonts w:asciiTheme="minorBidi" w:hAnsiTheme="minorBidi"/>
          <w:sz w:val="20"/>
          <w:shd w:val="clear" w:color="auto" w:fill="FFFFFF"/>
        </w:rPr>
        <w:t>.</w:t>
      </w:r>
      <w:r w:rsidRPr="00206BFB">
        <w:rPr>
          <w:rFonts w:asciiTheme="minorBidi" w:hAnsiTheme="minorBidi"/>
          <w:i/>
          <w:sz w:val="20"/>
          <w:shd w:val="clear" w:color="auto" w:fill="FFFFFF"/>
        </w:rPr>
        <w:t xml:space="preserve"> Nous nous réjouissons que Pierre Fabre puisse désormais proposer ce nouveau traitement innovant aux patients atteints de LPT EBV+ en Europe, qui ne disposaient jusque-là d’aucune solution thérapeutique approuvée et dont la médiane de survie n’était que de quelques semaines, voire quelques mois. »</w:t>
      </w:r>
    </w:p>
    <w:p w14:paraId="22FDCDB0" w14:textId="77777777" w:rsidR="00A9726A" w:rsidRPr="00206BFB" w:rsidRDefault="00A9726A" w:rsidP="00A9726A">
      <w:pPr>
        <w:spacing w:after="0"/>
        <w:rPr>
          <w:rFonts w:asciiTheme="minorBidi" w:hAnsiTheme="minorBidi"/>
          <w:sz w:val="20"/>
          <w:szCs w:val="20"/>
          <w:shd w:val="clear" w:color="auto" w:fill="FFFFFF"/>
        </w:rPr>
      </w:pPr>
    </w:p>
    <w:p w14:paraId="7A306C70" w14:textId="0993BEA1" w:rsidR="00701CCE" w:rsidRPr="00206BFB" w:rsidRDefault="00840BEB" w:rsidP="00701CCE">
      <w:pPr>
        <w:spacing w:after="0"/>
        <w:rPr>
          <w:rFonts w:asciiTheme="minorBidi" w:hAnsiTheme="minorBidi"/>
          <w:color w:val="000000" w:themeColor="text1"/>
          <w:sz w:val="20"/>
          <w:szCs w:val="20"/>
        </w:rPr>
      </w:pPr>
      <w:r>
        <w:rPr>
          <w:rFonts w:asciiTheme="minorBidi" w:hAnsiTheme="minorBidi"/>
          <w:color w:val="000000" w:themeColor="text1"/>
          <w:sz w:val="20"/>
        </w:rPr>
        <w:t>EBVALLO</w:t>
      </w:r>
      <w:r w:rsidR="00701CCE" w:rsidRPr="00206BFB">
        <w:rPr>
          <w:rFonts w:asciiTheme="minorBidi" w:hAnsiTheme="minorBidi"/>
          <w:color w:val="000000" w:themeColor="text1"/>
          <w:sz w:val="20"/>
          <w:vertAlign w:val="superscript"/>
        </w:rPr>
        <w:t>®</w:t>
      </w:r>
      <w:r w:rsidR="00701CCE" w:rsidRPr="00206BFB">
        <w:rPr>
          <w:rFonts w:asciiTheme="minorBidi" w:hAnsiTheme="minorBidi"/>
          <w:color w:val="000000" w:themeColor="text1"/>
          <w:sz w:val="20"/>
        </w:rPr>
        <w:t xml:space="preserve"> a reçu la désignation de médicament orphelin en Europe. La désignation de médicament orphelin est réservée aux médicaments destinés au traitement de maladies rares (ne touchant pas plus de cinq personnes sur 10 000 dans l’UE) entraînant une menace pour la vie ou une invalidité chronique. </w:t>
      </w:r>
    </w:p>
    <w:p w14:paraId="6884156B" w14:textId="77777777" w:rsidR="008A3E14" w:rsidRPr="00206BFB" w:rsidRDefault="008A3E14" w:rsidP="008A3E14">
      <w:pPr>
        <w:spacing w:after="0"/>
        <w:rPr>
          <w:rFonts w:ascii="Arial" w:hAnsi="Arial" w:cs="Arial"/>
          <w:color w:val="000000" w:themeColor="text1"/>
          <w:sz w:val="20"/>
          <w:szCs w:val="20"/>
        </w:rPr>
      </w:pPr>
    </w:p>
    <w:p w14:paraId="2E369518" w14:textId="4C9E4015" w:rsidR="008A3E14" w:rsidRDefault="121A2786" w:rsidP="008A3E14">
      <w:pPr>
        <w:spacing w:after="0"/>
        <w:rPr>
          <w:rFonts w:ascii="Arial" w:hAnsi="Arial"/>
          <w:sz w:val="20"/>
        </w:rPr>
      </w:pPr>
      <w:r>
        <w:rPr>
          <w:rFonts w:ascii="Arial" w:hAnsi="Arial"/>
          <w:sz w:val="20"/>
        </w:rPr>
        <w:t xml:space="preserve">Atara restera en charge de l’étude pivot ALLELE sur la LPT ainsi que de l’étude multicohorte de phase II qui évalue </w:t>
      </w:r>
      <w:r w:rsidR="00840BEB">
        <w:rPr>
          <w:rFonts w:ascii="Arial" w:hAnsi="Arial"/>
          <w:sz w:val="20"/>
        </w:rPr>
        <w:t>EBVALLO</w:t>
      </w:r>
      <w:r>
        <w:rPr>
          <w:rFonts w:ascii="Arial" w:hAnsi="Arial"/>
          <w:sz w:val="20"/>
          <w:vertAlign w:val="superscript"/>
        </w:rPr>
        <w:t>®</w:t>
      </w:r>
      <w:r>
        <w:rPr>
          <w:rFonts w:ascii="Arial" w:hAnsi="Arial"/>
          <w:sz w:val="20"/>
        </w:rPr>
        <w:t xml:space="preserve"> chez d’autres populations de patients. Atara conserve la totalité des </w:t>
      </w:r>
      <w:r>
        <w:rPr>
          <w:rStyle w:val="normaltextrun"/>
          <w:rFonts w:ascii="Arial" w:hAnsi="Arial"/>
          <w:color w:val="000000" w:themeColor="text1"/>
          <w:sz w:val="20"/>
        </w:rPr>
        <w:t>droits d’E</w:t>
      </w:r>
      <w:r w:rsidR="00F929E5">
        <w:rPr>
          <w:rStyle w:val="normaltextrun"/>
          <w:rFonts w:ascii="Arial" w:hAnsi="Arial"/>
          <w:color w:val="000000" w:themeColor="text1"/>
          <w:sz w:val="20"/>
        </w:rPr>
        <w:t>BVALLO</w:t>
      </w:r>
      <w:r>
        <w:rPr>
          <w:rFonts w:ascii="Arial" w:hAnsi="Arial"/>
          <w:sz w:val="20"/>
          <w:vertAlign w:val="superscript"/>
        </w:rPr>
        <w:t>®</w:t>
      </w:r>
      <w:r>
        <w:rPr>
          <w:rStyle w:val="normaltextrun"/>
          <w:rFonts w:ascii="Arial" w:hAnsi="Arial"/>
          <w:color w:val="000000" w:themeColor="text1"/>
          <w:sz w:val="20"/>
        </w:rPr>
        <w:t xml:space="preserve"> sur les autres marchés, notamment en Amérique du Nord, en Asie-Pacifique et en Amérique latine</w:t>
      </w:r>
      <w:r>
        <w:rPr>
          <w:rFonts w:ascii="Arial" w:hAnsi="Arial"/>
          <w:sz w:val="20"/>
        </w:rPr>
        <w:t xml:space="preserve">. </w:t>
      </w:r>
    </w:p>
    <w:p w14:paraId="175A87DA" w14:textId="77777777" w:rsidR="00FC406D" w:rsidRDefault="00FC406D" w:rsidP="008A3E14">
      <w:pPr>
        <w:spacing w:after="0"/>
        <w:rPr>
          <w:rFonts w:ascii="Arial" w:hAnsi="Arial"/>
          <w:sz w:val="20"/>
        </w:rPr>
      </w:pPr>
    </w:p>
    <w:p w14:paraId="3E01EEE1" w14:textId="77777777" w:rsidR="000D19EE" w:rsidRDefault="000D19EE" w:rsidP="008A3E14">
      <w:pPr>
        <w:spacing w:after="0"/>
        <w:rPr>
          <w:rFonts w:ascii="Arial" w:hAnsi="Arial"/>
          <w:sz w:val="20"/>
        </w:rPr>
      </w:pPr>
    </w:p>
    <w:p w14:paraId="2A3A61BD"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b/>
          <w:bCs/>
          <w:sz w:val="20"/>
          <w:szCs w:val="20"/>
          <w:u w:val="single"/>
        </w:rPr>
        <w:t>A propos de Pierre Fabre</w:t>
      </w:r>
      <w:r w:rsidRPr="00403391">
        <w:rPr>
          <w:rStyle w:val="eop"/>
          <w:rFonts w:ascii="Arial" w:hAnsi="Arial" w:cs="Arial"/>
          <w:sz w:val="20"/>
          <w:szCs w:val="20"/>
        </w:rPr>
        <w:t> </w:t>
      </w:r>
    </w:p>
    <w:p w14:paraId="1CC46BF9" w14:textId="1BE8565A"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 xml:space="preserve">Pierre Fabre est </w:t>
      </w:r>
      <w:r>
        <w:rPr>
          <w:rStyle w:val="normaltextrun"/>
          <w:rFonts w:ascii="Arial" w:hAnsi="Arial" w:cs="Arial"/>
          <w:sz w:val="20"/>
          <w:szCs w:val="20"/>
        </w:rPr>
        <w:t xml:space="preserve">une société française spécialisé dans les soins de santé, forte de 35 années d’expérience dans le domaine de l’innovation, du développement, de la fabrication et de la commercialisation en oncologie. </w:t>
      </w:r>
      <w:r w:rsidRPr="00403391">
        <w:rPr>
          <w:rStyle w:val="normaltextrun"/>
          <w:rFonts w:ascii="Arial" w:hAnsi="Arial" w:cs="Arial"/>
          <w:sz w:val="20"/>
          <w:szCs w:val="20"/>
        </w:rPr>
        <w:t>Son portefeuille compte plusieurs franchises médicales et marques internationales dont Pierre Fabre Oncologie, Pierre Fabre Dermatologie, Eau Thermale Avène, </w:t>
      </w:r>
      <w:proofErr w:type="spellStart"/>
      <w:r w:rsidRPr="00403391">
        <w:rPr>
          <w:rStyle w:val="normaltextrun"/>
          <w:rFonts w:ascii="Arial" w:hAnsi="Arial" w:cs="Arial"/>
          <w:sz w:val="20"/>
          <w:szCs w:val="20"/>
        </w:rPr>
        <w:t>Klorane</w:t>
      </w:r>
      <w:proofErr w:type="spellEnd"/>
      <w:r w:rsidRPr="00403391">
        <w:rPr>
          <w:rStyle w:val="normaltextrun"/>
          <w:rFonts w:ascii="Arial" w:hAnsi="Arial" w:cs="Arial"/>
          <w:sz w:val="20"/>
          <w:szCs w:val="20"/>
        </w:rPr>
        <w:t xml:space="preserve">, </w:t>
      </w:r>
      <w:proofErr w:type="spellStart"/>
      <w:r w:rsidR="00C63D00">
        <w:rPr>
          <w:rStyle w:val="normaltextrun"/>
          <w:rFonts w:ascii="Arial" w:hAnsi="Arial" w:cs="Arial"/>
          <w:sz w:val="20"/>
          <w:szCs w:val="20"/>
        </w:rPr>
        <w:t>Ducray</w:t>
      </w:r>
      <w:proofErr w:type="spellEnd"/>
      <w:r w:rsidR="00C63D00">
        <w:rPr>
          <w:rStyle w:val="normaltextrun"/>
          <w:rFonts w:ascii="Arial" w:hAnsi="Arial" w:cs="Arial"/>
          <w:sz w:val="20"/>
          <w:szCs w:val="20"/>
        </w:rPr>
        <w:t xml:space="preserve">, </w:t>
      </w:r>
      <w:r w:rsidRPr="00403391">
        <w:rPr>
          <w:rStyle w:val="normaltextrun"/>
          <w:rFonts w:ascii="Arial" w:hAnsi="Arial" w:cs="Arial"/>
          <w:sz w:val="20"/>
          <w:szCs w:val="20"/>
        </w:rPr>
        <w:t>René </w:t>
      </w:r>
      <w:proofErr w:type="spellStart"/>
      <w:r w:rsidRPr="00403391">
        <w:rPr>
          <w:rStyle w:val="normaltextrun"/>
          <w:rFonts w:ascii="Arial" w:hAnsi="Arial" w:cs="Arial"/>
          <w:sz w:val="20"/>
          <w:szCs w:val="20"/>
        </w:rPr>
        <w:t>Furterer</w:t>
      </w:r>
      <w:proofErr w:type="spellEnd"/>
      <w:r w:rsidRPr="00403391">
        <w:rPr>
          <w:rStyle w:val="normaltextrun"/>
          <w:rFonts w:ascii="Arial" w:hAnsi="Arial" w:cs="Arial"/>
          <w:sz w:val="20"/>
          <w:szCs w:val="20"/>
        </w:rPr>
        <w:t>, A-</w:t>
      </w:r>
      <w:proofErr w:type="spellStart"/>
      <w:r w:rsidRPr="00403391">
        <w:rPr>
          <w:rStyle w:val="normaltextrun"/>
          <w:rFonts w:ascii="Arial" w:hAnsi="Arial" w:cs="Arial"/>
          <w:sz w:val="20"/>
          <w:szCs w:val="20"/>
        </w:rPr>
        <w:t>Derma</w:t>
      </w:r>
      <w:proofErr w:type="spellEnd"/>
      <w:r>
        <w:rPr>
          <w:rStyle w:val="normaltextrun"/>
          <w:rFonts w:ascii="Arial" w:hAnsi="Arial" w:cs="Arial"/>
          <w:sz w:val="20"/>
          <w:szCs w:val="20"/>
        </w:rPr>
        <w:t>,</w:t>
      </w:r>
      <w:r w:rsidRPr="00403391">
        <w:rPr>
          <w:rStyle w:val="normaltextrun"/>
          <w:rFonts w:ascii="Arial" w:hAnsi="Arial" w:cs="Arial"/>
          <w:sz w:val="20"/>
          <w:szCs w:val="20"/>
        </w:rPr>
        <w:t xml:space="preserve"> </w:t>
      </w:r>
      <w:proofErr w:type="spellStart"/>
      <w:r w:rsidRPr="00403391">
        <w:rPr>
          <w:rStyle w:val="normaltextrun"/>
          <w:rFonts w:ascii="Arial" w:hAnsi="Arial" w:cs="Arial"/>
          <w:sz w:val="20"/>
          <w:szCs w:val="20"/>
        </w:rPr>
        <w:t>Darrow</w:t>
      </w:r>
      <w:proofErr w:type="spellEnd"/>
      <w:r w:rsidRPr="00403391">
        <w:rPr>
          <w:rStyle w:val="normaltextrun"/>
          <w:rFonts w:ascii="Arial" w:hAnsi="Arial" w:cs="Arial"/>
          <w:sz w:val="20"/>
          <w:szCs w:val="20"/>
        </w:rPr>
        <w:t xml:space="preserve">, </w:t>
      </w:r>
      <w:proofErr w:type="spellStart"/>
      <w:r w:rsidRPr="00403391">
        <w:rPr>
          <w:rStyle w:val="normaltextrun"/>
          <w:rFonts w:ascii="Arial" w:hAnsi="Arial" w:cs="Arial"/>
          <w:sz w:val="20"/>
          <w:szCs w:val="20"/>
        </w:rPr>
        <w:t>Glytone</w:t>
      </w:r>
      <w:proofErr w:type="spellEnd"/>
      <w:r w:rsidRPr="00403391">
        <w:rPr>
          <w:rStyle w:val="normaltextrun"/>
          <w:rFonts w:ascii="Arial" w:hAnsi="Arial" w:cs="Arial"/>
          <w:sz w:val="20"/>
          <w:szCs w:val="20"/>
        </w:rPr>
        <w:t xml:space="preserve">, </w:t>
      </w:r>
      <w:proofErr w:type="spellStart"/>
      <w:r w:rsidRPr="00403391">
        <w:rPr>
          <w:rStyle w:val="normaltextrun"/>
          <w:rFonts w:ascii="Arial" w:hAnsi="Arial" w:cs="Arial"/>
          <w:sz w:val="20"/>
          <w:szCs w:val="20"/>
        </w:rPr>
        <w:t>Naturactive</w:t>
      </w:r>
      <w:proofErr w:type="spellEnd"/>
      <w:r w:rsidRPr="00403391">
        <w:rPr>
          <w:rStyle w:val="normaltextrun"/>
          <w:rFonts w:ascii="Arial" w:hAnsi="Arial" w:cs="Arial"/>
          <w:sz w:val="20"/>
          <w:szCs w:val="20"/>
        </w:rPr>
        <w:t> et Pierre Fabre Oral Care.  </w:t>
      </w:r>
      <w:r w:rsidRPr="00403391">
        <w:rPr>
          <w:rStyle w:val="eop"/>
          <w:rFonts w:ascii="Arial" w:hAnsi="Arial" w:cs="Arial"/>
          <w:sz w:val="20"/>
          <w:szCs w:val="20"/>
        </w:rPr>
        <w:t> </w:t>
      </w:r>
    </w:p>
    <w:p w14:paraId="366F00E8" w14:textId="77777777" w:rsidR="000D19EE" w:rsidRDefault="000D19EE" w:rsidP="000D19EE">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La société a fait de l’oncologie une priorité majeure sur le plan de la R&amp;D comme de la stratégie commerciale, en se concentrant sur les thérapies ciblées, les biothérapies et l’</w:t>
      </w:r>
      <w:proofErr w:type="spellStart"/>
      <w:r>
        <w:rPr>
          <w:rStyle w:val="normaltextrun"/>
          <w:rFonts w:ascii="Arial" w:hAnsi="Arial" w:cs="Arial"/>
          <w:color w:val="000000"/>
          <w:sz w:val="20"/>
          <w:szCs w:val="20"/>
          <w:shd w:val="clear" w:color="auto" w:fill="FFFFFF"/>
        </w:rPr>
        <w:t>immuno</w:t>
      </w:r>
      <w:proofErr w:type="spellEnd"/>
      <w:r>
        <w:rPr>
          <w:rStyle w:val="normaltextrun"/>
          <w:rFonts w:ascii="Arial" w:hAnsi="Arial" w:cs="Arial"/>
          <w:color w:val="000000"/>
          <w:sz w:val="20"/>
          <w:szCs w:val="20"/>
          <w:shd w:val="clear" w:color="auto" w:fill="FFFFFF"/>
        </w:rPr>
        <w:t>-oncologie.</w:t>
      </w:r>
      <w:r w:rsidRPr="005C113D">
        <w:rPr>
          <w:rStyle w:val="normaltextrun"/>
          <w:rFonts w:ascii="Arial" w:hAnsi="Arial" w:cs="Arial"/>
          <w:sz w:val="20"/>
          <w:szCs w:val="20"/>
        </w:rPr>
        <w:t xml:space="preserve"> </w:t>
      </w:r>
      <w:r>
        <w:rPr>
          <w:rStyle w:val="normaltextrun"/>
          <w:rFonts w:ascii="Arial" w:hAnsi="Arial" w:cs="Arial"/>
          <w:color w:val="000000"/>
          <w:sz w:val="20"/>
          <w:szCs w:val="20"/>
          <w:shd w:val="clear" w:color="auto" w:fill="FFFFFF"/>
        </w:rPr>
        <w:t xml:space="preserve">Son portefeuille de produits inclut le traitement des cancers colorectaux, du sein ou du poumon, des mélanomes et des conditions précancéreuses comme la kératose actinique. </w:t>
      </w:r>
    </w:p>
    <w:p w14:paraId="5B8288C4"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En 2021, Pierre Fabre a enregistré un chiffre d’affaires de 2,5 milliards d’euros, dont 66% réalisés à l’international dans plus de 100 pays.</w:t>
      </w:r>
      <w:r w:rsidRPr="00403391">
        <w:rPr>
          <w:rStyle w:val="eop"/>
          <w:rFonts w:ascii="Arial" w:hAnsi="Arial" w:cs="Arial"/>
          <w:sz w:val="20"/>
          <w:szCs w:val="20"/>
        </w:rPr>
        <w:t> </w:t>
      </w:r>
    </w:p>
    <w:p w14:paraId="39C5A1CB"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Implanté depuis toujours en région Occitanie,</w:t>
      </w:r>
      <w:r>
        <w:rPr>
          <w:rStyle w:val="normaltextrun"/>
          <w:rFonts w:ascii="Arial" w:hAnsi="Arial" w:cs="Arial"/>
          <w:sz w:val="20"/>
          <w:szCs w:val="20"/>
        </w:rPr>
        <w:t xml:space="preserve"> fabriquant </w:t>
      </w:r>
      <w:r w:rsidRPr="00403391">
        <w:rPr>
          <w:rStyle w:val="normaltextrun"/>
          <w:rFonts w:ascii="Arial" w:hAnsi="Arial" w:cs="Arial"/>
          <w:sz w:val="20"/>
          <w:szCs w:val="20"/>
        </w:rPr>
        <w:t>plus de 95% de ses produits en France, le groupe emploie environ 9500 collaborateurs dans le monde.</w:t>
      </w:r>
      <w:r w:rsidRPr="00403391">
        <w:rPr>
          <w:rStyle w:val="eop"/>
          <w:rFonts w:ascii="Arial" w:hAnsi="Arial" w:cs="Arial"/>
          <w:sz w:val="20"/>
          <w:szCs w:val="20"/>
        </w:rPr>
        <w:t> </w:t>
      </w:r>
      <w:r w:rsidRPr="00403391">
        <w:rPr>
          <w:rStyle w:val="normaltextrun"/>
          <w:rFonts w:ascii="Arial" w:hAnsi="Arial" w:cs="Arial"/>
          <w:sz w:val="20"/>
          <w:szCs w:val="20"/>
        </w:rPr>
        <w:t>Pierre Fabre est détenu à 86% par la Fondation Pierre Fabre, une fondation reconnue d’utilité publique, et secondairement par ses collaborateurs à travers un plan d’actionnariat salarié. </w:t>
      </w:r>
      <w:r w:rsidRPr="00403391">
        <w:rPr>
          <w:rStyle w:val="eop"/>
          <w:rFonts w:ascii="Arial" w:hAnsi="Arial" w:cs="Arial"/>
          <w:sz w:val="20"/>
          <w:szCs w:val="20"/>
        </w:rPr>
        <w:t> </w:t>
      </w:r>
    </w:p>
    <w:p w14:paraId="6DDCB35F"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La démarche RSE du Groupe est évaluée par l’organisme indépendant AFNOR Certification au niveau </w:t>
      </w:r>
      <w:r w:rsidRPr="00403391">
        <w:rPr>
          <w:rStyle w:val="eop"/>
          <w:rFonts w:ascii="Arial" w:hAnsi="Arial" w:cs="Arial"/>
          <w:sz w:val="20"/>
          <w:szCs w:val="20"/>
        </w:rPr>
        <w:t> </w:t>
      </w:r>
    </w:p>
    <w:p w14:paraId="46DA406B"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 Exemplaire » du label Engagé RSE (norme ISO 26 000 du développement durable).  </w:t>
      </w:r>
      <w:r w:rsidRPr="00403391">
        <w:rPr>
          <w:rStyle w:val="eop"/>
          <w:rFonts w:ascii="Arial" w:hAnsi="Arial" w:cs="Arial"/>
          <w:sz w:val="20"/>
          <w:szCs w:val="20"/>
        </w:rPr>
        <w:t> </w:t>
      </w:r>
    </w:p>
    <w:p w14:paraId="3DE61AEB" w14:textId="77777777" w:rsidR="000D19EE" w:rsidRPr="00403391" w:rsidRDefault="000D19EE" w:rsidP="000D19EE">
      <w:pPr>
        <w:pStyle w:val="paragraph"/>
        <w:spacing w:before="0" w:beforeAutospacing="0" w:after="0" w:afterAutospacing="0"/>
        <w:jc w:val="both"/>
        <w:textAlignment w:val="baseline"/>
        <w:rPr>
          <w:rFonts w:ascii="Arial" w:hAnsi="Arial" w:cs="Arial"/>
          <w:sz w:val="20"/>
          <w:szCs w:val="20"/>
        </w:rPr>
      </w:pPr>
      <w:r w:rsidRPr="00403391">
        <w:rPr>
          <w:rStyle w:val="normaltextrun"/>
          <w:rFonts w:ascii="Arial" w:hAnsi="Arial" w:cs="Arial"/>
          <w:sz w:val="20"/>
          <w:szCs w:val="20"/>
        </w:rPr>
        <w:t xml:space="preserve">Pour plus d’informations, consultez la page </w:t>
      </w:r>
      <w:hyperlink r:id="rId15" w:tgtFrame="_blank" w:history="1">
        <w:r w:rsidRPr="00403391">
          <w:rPr>
            <w:rStyle w:val="normaltextrun"/>
            <w:rFonts w:ascii="Arial" w:hAnsi="Arial" w:cs="Arial"/>
            <w:color w:val="0000FF"/>
            <w:sz w:val="20"/>
            <w:szCs w:val="20"/>
            <w:u w:val="single"/>
          </w:rPr>
          <w:t>www.pierre-fabre.com</w:t>
        </w:r>
      </w:hyperlink>
      <w:r w:rsidRPr="00403391">
        <w:rPr>
          <w:rStyle w:val="normaltextrun"/>
          <w:rFonts w:ascii="Arial" w:hAnsi="Arial" w:cs="Arial"/>
          <w:sz w:val="20"/>
          <w:szCs w:val="20"/>
        </w:rPr>
        <w:t xml:space="preserve">, </w:t>
      </w:r>
      <w:r w:rsidRPr="00403391">
        <w:rPr>
          <w:rStyle w:val="normaltextrun"/>
          <w:rFonts w:ascii="Arial" w:hAnsi="Arial" w:cs="Arial"/>
          <w:color w:val="000000"/>
          <w:sz w:val="20"/>
          <w:szCs w:val="20"/>
        </w:rPr>
        <w:t>@PierreFabre.</w:t>
      </w:r>
      <w:r w:rsidRPr="00403391">
        <w:rPr>
          <w:rStyle w:val="eop"/>
          <w:rFonts w:ascii="Arial" w:hAnsi="Arial" w:cs="Arial"/>
          <w:color w:val="000000"/>
          <w:sz w:val="20"/>
          <w:szCs w:val="20"/>
        </w:rPr>
        <w:t> </w:t>
      </w:r>
    </w:p>
    <w:p w14:paraId="7E552724" w14:textId="77777777" w:rsidR="000D19EE" w:rsidRPr="00D17B2C" w:rsidRDefault="000D19EE" w:rsidP="000D19EE">
      <w:pPr>
        <w:spacing w:line="240" w:lineRule="auto"/>
        <w:rPr>
          <w:b/>
          <w:bCs/>
        </w:rPr>
      </w:pPr>
    </w:p>
    <w:p w14:paraId="23CB8412" w14:textId="77777777" w:rsidR="000D19EE" w:rsidRPr="00313003" w:rsidRDefault="000D19EE" w:rsidP="000D19EE">
      <w:pPr>
        <w:pStyle w:val="paragraph"/>
        <w:spacing w:before="0" w:beforeAutospacing="0" w:after="0" w:afterAutospacing="0"/>
        <w:jc w:val="both"/>
        <w:textAlignment w:val="baseline"/>
        <w:rPr>
          <w:rFonts w:ascii="Segoe UI" w:hAnsi="Segoe UI" w:cs="Segoe UI"/>
          <w:sz w:val="18"/>
          <w:szCs w:val="18"/>
          <w:u w:val="single"/>
        </w:rPr>
      </w:pPr>
      <w:r w:rsidRPr="00313003">
        <w:rPr>
          <w:rStyle w:val="normaltextrun"/>
          <w:rFonts w:ascii="Arial" w:hAnsi="Arial" w:cs="Arial"/>
          <w:b/>
          <w:bCs/>
          <w:color w:val="000000"/>
          <w:sz w:val="20"/>
          <w:szCs w:val="20"/>
          <w:u w:val="single"/>
        </w:rPr>
        <w:t>À propos d'</w:t>
      </w:r>
      <w:proofErr w:type="spellStart"/>
      <w:r w:rsidRPr="00313003">
        <w:rPr>
          <w:rStyle w:val="normaltextrun"/>
          <w:rFonts w:ascii="Arial" w:hAnsi="Arial" w:cs="Arial"/>
          <w:b/>
          <w:bCs/>
          <w:color w:val="000000"/>
          <w:sz w:val="20"/>
          <w:szCs w:val="20"/>
          <w:u w:val="single"/>
        </w:rPr>
        <w:t>Atara</w:t>
      </w:r>
      <w:proofErr w:type="spellEnd"/>
      <w:r w:rsidRPr="00313003">
        <w:rPr>
          <w:rStyle w:val="normaltextrun"/>
          <w:rFonts w:ascii="Arial" w:hAnsi="Arial" w:cs="Arial"/>
          <w:b/>
          <w:bCs/>
          <w:color w:val="000000"/>
          <w:sz w:val="20"/>
          <w:szCs w:val="20"/>
          <w:u w:val="single"/>
        </w:rPr>
        <w:t xml:space="preserve"> </w:t>
      </w:r>
      <w:proofErr w:type="spellStart"/>
      <w:r w:rsidRPr="00313003">
        <w:rPr>
          <w:rStyle w:val="normaltextrun"/>
          <w:rFonts w:ascii="Arial" w:hAnsi="Arial" w:cs="Arial"/>
          <w:b/>
          <w:bCs/>
          <w:color w:val="000000"/>
          <w:sz w:val="20"/>
          <w:szCs w:val="20"/>
          <w:u w:val="single"/>
        </w:rPr>
        <w:t>Biotherapeutics</w:t>
      </w:r>
      <w:proofErr w:type="spellEnd"/>
      <w:r w:rsidRPr="00313003">
        <w:rPr>
          <w:rStyle w:val="normaltextrun"/>
          <w:rFonts w:ascii="Arial" w:hAnsi="Arial" w:cs="Arial"/>
          <w:b/>
          <w:bCs/>
          <w:color w:val="000000"/>
          <w:sz w:val="20"/>
          <w:szCs w:val="20"/>
          <w:u w:val="single"/>
        </w:rPr>
        <w:t>, Inc.</w:t>
      </w:r>
      <w:r w:rsidRPr="00313003">
        <w:rPr>
          <w:rStyle w:val="eop"/>
          <w:rFonts w:ascii="Arial" w:hAnsi="Arial" w:cs="Arial"/>
          <w:color w:val="000000"/>
          <w:sz w:val="20"/>
          <w:szCs w:val="20"/>
          <w:u w:val="single"/>
        </w:rPr>
        <w:t> </w:t>
      </w:r>
    </w:p>
    <w:p w14:paraId="519660E8" w14:textId="1ABCF05A" w:rsidR="000D19EE" w:rsidRDefault="000D19EE" w:rsidP="000D19E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La société </w:t>
      </w:r>
      <w:hyperlink r:id="rId16" w:tgtFrame="_blank" w:history="1">
        <w:proofErr w:type="spellStart"/>
        <w:r>
          <w:rPr>
            <w:rStyle w:val="normaltextrun"/>
            <w:rFonts w:ascii="Arial" w:hAnsi="Arial" w:cs="Arial"/>
            <w:color w:val="0000FF"/>
            <w:sz w:val="20"/>
            <w:szCs w:val="20"/>
            <w:u w:val="single"/>
          </w:rPr>
          <w:t>Atara</w:t>
        </w:r>
        <w:proofErr w:type="spellEnd"/>
        <w:r>
          <w:rPr>
            <w:rStyle w:val="normaltextrun"/>
            <w:rFonts w:ascii="Arial" w:hAnsi="Arial" w:cs="Arial"/>
            <w:color w:val="0000FF"/>
            <w:sz w:val="20"/>
            <w:szCs w:val="20"/>
            <w:u w:val="single"/>
          </w:rPr>
          <w:t xml:space="preserve"> </w:t>
        </w:r>
        <w:proofErr w:type="spellStart"/>
        <w:r>
          <w:rPr>
            <w:rStyle w:val="normaltextrun"/>
            <w:rFonts w:ascii="Arial" w:hAnsi="Arial" w:cs="Arial"/>
            <w:color w:val="0000FF"/>
            <w:sz w:val="20"/>
            <w:szCs w:val="20"/>
            <w:u w:val="single"/>
          </w:rPr>
          <w:t>Biotherapeutics</w:t>
        </w:r>
        <w:proofErr w:type="spellEnd"/>
        <w:r>
          <w:rPr>
            <w:rStyle w:val="normaltextrun"/>
            <w:rFonts w:ascii="Arial" w:hAnsi="Arial" w:cs="Arial"/>
            <w:color w:val="0000FF"/>
            <w:sz w:val="20"/>
            <w:szCs w:val="20"/>
            <w:u w:val="single"/>
          </w:rPr>
          <w:t>, Inc.</w:t>
        </w:r>
      </w:hyperlink>
      <w:r>
        <w:rPr>
          <w:rStyle w:val="normaltextrun"/>
          <w:rFonts w:ascii="Arial" w:hAnsi="Arial" w:cs="Arial"/>
          <w:color w:val="000000"/>
          <w:sz w:val="20"/>
          <w:szCs w:val="20"/>
        </w:rPr>
        <w:t> (</w:t>
      </w:r>
      <w:hyperlink r:id="rId17" w:tgtFrame="_blank" w:history="1">
        <w:r>
          <w:rPr>
            <w:rStyle w:val="normaltextrun"/>
            <w:rFonts w:ascii="Arial" w:hAnsi="Arial" w:cs="Arial"/>
            <w:color w:val="0000FF"/>
            <w:sz w:val="20"/>
            <w:szCs w:val="20"/>
            <w:u w:val="single"/>
          </w:rPr>
          <w:t>@</w:t>
        </w:r>
        <w:proofErr w:type="spellStart"/>
        <w:r>
          <w:rPr>
            <w:rStyle w:val="normaltextrun"/>
            <w:rFonts w:ascii="Arial" w:hAnsi="Arial" w:cs="Arial"/>
            <w:color w:val="0000FF"/>
            <w:sz w:val="20"/>
            <w:szCs w:val="20"/>
            <w:u w:val="single"/>
          </w:rPr>
          <w:t>Atarabio</w:t>
        </w:r>
        <w:proofErr w:type="spellEnd"/>
      </w:hyperlink>
      <w:r>
        <w:rPr>
          <w:rStyle w:val="normaltextrun"/>
          <w:rFonts w:ascii="Arial" w:hAnsi="Arial" w:cs="Arial"/>
          <w:color w:val="000000"/>
          <w:sz w:val="20"/>
          <w:szCs w:val="20"/>
        </w:rPr>
        <w:t xml:space="preserve">) est pionnière dans le domaine de l'immunothérapie à cellules T et tire parti de sa plate-forme novatrice allogénique à lymphocytes T anti-EBV pour développer des thérapies transformatrices destinées aux patients atteints de maladies graves, dont les tumeurs solides, les cancers hématologiques et les maladies auto-immunes. Grâce à notre programme pilote en phase III de développement clinique, </w:t>
      </w:r>
      <w:proofErr w:type="spellStart"/>
      <w:r>
        <w:rPr>
          <w:rStyle w:val="normaltextrun"/>
          <w:rFonts w:ascii="Arial" w:hAnsi="Arial" w:cs="Arial"/>
          <w:color w:val="000000"/>
          <w:sz w:val="20"/>
          <w:szCs w:val="20"/>
        </w:rPr>
        <w:t>Atara</w:t>
      </w:r>
      <w:proofErr w:type="spellEnd"/>
      <w:r>
        <w:rPr>
          <w:rStyle w:val="normaltextrun"/>
          <w:rFonts w:ascii="Arial" w:hAnsi="Arial" w:cs="Arial"/>
          <w:color w:val="000000"/>
          <w:sz w:val="20"/>
          <w:szCs w:val="20"/>
        </w:rPr>
        <w:t xml:space="preserve"> détient l'immunothérapie allogénique à lymphocytes T la plus avancée et a l'intention d'offrir rapidement des traitements aux patients présentant d’importants besoins médicaux non satisfaits. Notre plate-forme exploite la biologie unique des lymphocytes T anti-EBV et a la capacité de traiter un large éventail de maladies associées à l’EBV, ou d'autres maladies graves, par l'incorporation de RAC (récepteurs d'antigène chimérique) ou de TCR (récepteurs des cellules T) fabriqués. </w:t>
      </w:r>
      <w:proofErr w:type="spellStart"/>
      <w:r>
        <w:rPr>
          <w:rStyle w:val="normaltextrun"/>
          <w:rFonts w:ascii="Arial" w:hAnsi="Arial" w:cs="Arial"/>
          <w:color w:val="000000"/>
          <w:sz w:val="20"/>
          <w:szCs w:val="20"/>
        </w:rPr>
        <w:t>Atara</w:t>
      </w:r>
      <w:proofErr w:type="spellEnd"/>
      <w:r>
        <w:rPr>
          <w:rStyle w:val="normaltextrun"/>
          <w:rFonts w:ascii="Arial" w:hAnsi="Arial" w:cs="Arial"/>
          <w:color w:val="000000"/>
          <w:sz w:val="20"/>
          <w:szCs w:val="20"/>
        </w:rPr>
        <w:t xml:space="preserve"> applique cette plate-forme unique, qui ne nécessite pas d’édition génomique des TCR ou des HLA (antigènes des leucocytes humains), pour créer un pipeline robuste comprenant : le tab-</w:t>
      </w:r>
      <w:proofErr w:type="spellStart"/>
      <w:r>
        <w:rPr>
          <w:rStyle w:val="normaltextrun"/>
          <w:rFonts w:ascii="Arial" w:hAnsi="Arial" w:cs="Arial"/>
          <w:color w:val="000000"/>
          <w:sz w:val="20"/>
          <w:szCs w:val="20"/>
        </w:rPr>
        <w:t>cel</w:t>
      </w:r>
      <w:proofErr w:type="spellEnd"/>
      <w:r>
        <w:rPr>
          <w:rStyle w:val="normaltextrun"/>
          <w:rFonts w:ascii="Arial" w:hAnsi="Arial" w:cs="Arial"/>
          <w:color w:val="000000"/>
          <w:sz w:val="20"/>
          <w:szCs w:val="20"/>
        </w:rPr>
        <w:t xml:space="preserve"> en phase III de développement pour la maladie lymphoproliférative post-transplantation associée au virus Epstein-Barr (LPT EBV</w:t>
      </w:r>
      <w:r>
        <w:rPr>
          <w:rStyle w:val="normaltextrun"/>
          <w:rFonts w:ascii="Arial" w:hAnsi="Arial" w:cs="Arial"/>
          <w:color w:val="000000"/>
          <w:vertAlign w:val="superscript"/>
        </w:rPr>
        <w:t>+</w:t>
      </w:r>
      <w:r>
        <w:rPr>
          <w:rStyle w:val="normaltextrun"/>
          <w:rFonts w:ascii="Arial" w:hAnsi="Arial" w:cs="Arial"/>
          <w:color w:val="000000"/>
          <w:sz w:val="20"/>
          <w:szCs w:val="20"/>
        </w:rPr>
        <w:t xml:space="preserve">) et pour d’autres maladies liées à </w:t>
      </w:r>
      <w:r w:rsidR="007E7C4F">
        <w:rPr>
          <w:rStyle w:val="normaltextrun"/>
          <w:rFonts w:ascii="Arial" w:hAnsi="Arial" w:cs="Arial"/>
          <w:color w:val="000000"/>
          <w:sz w:val="20"/>
          <w:szCs w:val="20"/>
        </w:rPr>
        <w:t>l’EBV ainsi</w:t>
      </w:r>
      <w:r>
        <w:rPr>
          <w:rStyle w:val="normaltextrun"/>
          <w:rFonts w:ascii="Arial" w:hAnsi="Arial" w:cs="Arial"/>
          <w:color w:val="000000"/>
          <w:sz w:val="20"/>
          <w:szCs w:val="20"/>
        </w:rPr>
        <w:t xml:space="preserve"> que </w:t>
      </w:r>
      <w:proofErr w:type="gramStart"/>
      <w:r>
        <w:rPr>
          <w:rStyle w:val="normaltextrun"/>
          <w:rFonts w:ascii="Arial" w:hAnsi="Arial" w:cs="Arial"/>
          <w:color w:val="000000"/>
          <w:sz w:val="20"/>
          <w:szCs w:val="20"/>
        </w:rPr>
        <w:t>des  immunothérapies</w:t>
      </w:r>
      <w:proofErr w:type="gramEnd"/>
      <w:r>
        <w:rPr>
          <w:rStyle w:val="normaltextrun"/>
          <w:rFonts w:ascii="Arial" w:hAnsi="Arial" w:cs="Arial"/>
          <w:color w:val="000000"/>
          <w:sz w:val="20"/>
          <w:szCs w:val="20"/>
        </w:rPr>
        <w:t xml:space="preserve"> nouvelle génération pour les tumeurs solides et les tumeurs malignes hématologiques. Améliorer la vie des patients est notre mission et nous ne cesserons jamais de travailler pour apporter des thérapies transformatrices à ceux qui en ont besoin. Le siège social d'</w:t>
      </w:r>
      <w:proofErr w:type="spellStart"/>
      <w:r>
        <w:rPr>
          <w:rStyle w:val="normaltextrun"/>
          <w:rFonts w:ascii="Arial" w:hAnsi="Arial" w:cs="Arial"/>
          <w:color w:val="000000"/>
          <w:sz w:val="20"/>
          <w:szCs w:val="20"/>
        </w:rPr>
        <w:t>Atara</w:t>
      </w:r>
      <w:proofErr w:type="spellEnd"/>
      <w:r>
        <w:rPr>
          <w:rStyle w:val="normaltextrun"/>
          <w:rFonts w:ascii="Arial" w:hAnsi="Arial" w:cs="Arial"/>
          <w:color w:val="000000"/>
          <w:sz w:val="20"/>
          <w:szCs w:val="20"/>
        </w:rPr>
        <w:t xml:space="preserve"> est situé en Californie, aux États-Unis. Pour plus d'informations à propos de la société, veuillez consulter </w:t>
      </w:r>
      <w:hyperlink r:id="rId18" w:tgtFrame="_blank" w:history="1">
        <w:r>
          <w:rPr>
            <w:rStyle w:val="normaltextrun"/>
            <w:rFonts w:ascii="Arial" w:hAnsi="Arial" w:cs="Arial"/>
            <w:color w:val="0000FF"/>
            <w:sz w:val="20"/>
            <w:szCs w:val="20"/>
            <w:u w:val="single"/>
          </w:rPr>
          <w:t>atarabio.com</w:t>
        </w:r>
      </w:hyperlink>
      <w:r>
        <w:rPr>
          <w:rStyle w:val="normaltextrun"/>
          <w:rFonts w:ascii="Arial" w:hAnsi="Arial" w:cs="Arial"/>
          <w:color w:val="000000"/>
          <w:sz w:val="20"/>
          <w:szCs w:val="20"/>
        </w:rPr>
        <w:t xml:space="preserve"> et nous suivre sur </w:t>
      </w:r>
      <w:hyperlink r:id="rId19" w:tgtFrame="_blank" w:history="1">
        <w:r>
          <w:rPr>
            <w:rStyle w:val="normaltextrun"/>
            <w:rFonts w:ascii="Arial" w:hAnsi="Arial" w:cs="Arial"/>
            <w:color w:val="0000FF"/>
            <w:sz w:val="20"/>
            <w:szCs w:val="20"/>
            <w:u w:val="single"/>
          </w:rPr>
          <w:t>Twitter</w:t>
        </w:r>
      </w:hyperlink>
      <w:r>
        <w:rPr>
          <w:rStyle w:val="normaltextrun"/>
          <w:rFonts w:ascii="Arial" w:hAnsi="Arial" w:cs="Arial"/>
          <w:color w:val="000000"/>
          <w:sz w:val="20"/>
          <w:szCs w:val="20"/>
        </w:rPr>
        <w:t xml:space="preserve"> et </w:t>
      </w:r>
      <w:hyperlink r:id="rId20" w:tgtFrame="_blank" w:history="1">
        <w:r>
          <w:rPr>
            <w:rStyle w:val="normaltextrun"/>
            <w:rFonts w:ascii="Arial" w:hAnsi="Arial" w:cs="Arial"/>
            <w:color w:val="0000FF"/>
            <w:sz w:val="20"/>
            <w:szCs w:val="20"/>
            <w:u w:val="single"/>
          </w:rPr>
          <w:t>LinkedIn</w:t>
        </w:r>
      </w:hyperlink>
      <w:r>
        <w:rPr>
          <w:rStyle w:val="normaltextrun"/>
          <w:rFonts w:ascii="Arial" w:hAnsi="Arial" w:cs="Arial"/>
          <w:color w:val="000000"/>
          <w:sz w:val="20"/>
          <w:szCs w:val="20"/>
        </w:rPr>
        <w:t>.</w:t>
      </w:r>
      <w:r>
        <w:rPr>
          <w:rStyle w:val="eop"/>
          <w:rFonts w:ascii="Arial" w:hAnsi="Arial" w:cs="Arial"/>
          <w:color w:val="000000"/>
          <w:sz w:val="20"/>
          <w:szCs w:val="20"/>
        </w:rPr>
        <w:t> </w:t>
      </w:r>
    </w:p>
    <w:p w14:paraId="1C74303A" w14:textId="77777777" w:rsidR="00FC406D" w:rsidRPr="00521FEA" w:rsidRDefault="00FC406D" w:rsidP="008A3E14">
      <w:pPr>
        <w:spacing w:after="0"/>
        <w:rPr>
          <w:rFonts w:ascii="Arial" w:hAnsi="Arial" w:cs="Arial"/>
          <w:sz w:val="20"/>
          <w:szCs w:val="20"/>
          <w:shd w:val="clear" w:color="auto" w:fill="FFFFFF"/>
        </w:rPr>
      </w:pPr>
    </w:p>
    <w:p w14:paraId="2B991DA0" w14:textId="2C125732" w:rsidR="002606C2" w:rsidRPr="008A3E14" w:rsidRDefault="002606C2" w:rsidP="002606C2">
      <w:pPr>
        <w:spacing w:after="0"/>
        <w:rPr>
          <w:rFonts w:ascii="Arial" w:hAnsi="Arial" w:cs="Arial"/>
          <w:shd w:val="clear" w:color="auto" w:fill="FFFFFF"/>
        </w:rPr>
      </w:pPr>
      <w:r w:rsidRPr="008B7312">
        <w:rPr>
          <w:rFonts w:ascii="Arial" w:hAnsi="Arial"/>
        </w:rPr>
        <w:t>###</w:t>
      </w:r>
    </w:p>
    <w:p w14:paraId="0AF7E1D9" w14:textId="77777777" w:rsidR="007F28D4" w:rsidRPr="00206BFB" w:rsidRDefault="007F28D4" w:rsidP="00A42AC7">
      <w:pPr>
        <w:spacing w:after="0"/>
        <w:rPr>
          <w:rFonts w:ascii="Arial" w:hAnsi="Arial" w:cs="Arial"/>
        </w:rPr>
      </w:pPr>
    </w:p>
    <w:p w14:paraId="4A81FE21" w14:textId="4822AF7E" w:rsidR="007F28D4" w:rsidRPr="008A3E14" w:rsidRDefault="00257B8A" w:rsidP="007F28D4">
      <w:pPr>
        <w:spacing w:after="0"/>
        <w:rPr>
          <w:rFonts w:ascii="Arial" w:hAnsi="Arial" w:cs="Arial"/>
          <w:b/>
          <w:bCs/>
          <w:color w:val="000000" w:themeColor="text1"/>
          <w:sz w:val="20"/>
          <w:szCs w:val="20"/>
        </w:rPr>
      </w:pPr>
      <w:r>
        <w:rPr>
          <w:rFonts w:ascii="Arial" w:hAnsi="Arial"/>
          <w:b/>
          <w:color w:val="000000" w:themeColor="text1"/>
          <w:sz w:val="20"/>
        </w:rPr>
        <w:t>CONTACTS MÉDIAS ET INVESTISSEURS :</w:t>
      </w:r>
    </w:p>
    <w:p w14:paraId="77FF1E6A" w14:textId="77777777" w:rsidR="007F28D4" w:rsidRPr="00206BFB" w:rsidRDefault="007F28D4" w:rsidP="007F28D4">
      <w:pPr>
        <w:spacing w:after="0"/>
        <w:rPr>
          <w:rFonts w:ascii="Arial" w:hAnsi="Arial" w:cs="Arial"/>
          <w:b/>
          <w:bCs/>
          <w:iCs/>
          <w:color w:val="000000" w:themeColor="text1"/>
          <w:sz w:val="20"/>
          <w:szCs w:val="20"/>
        </w:rPr>
      </w:pPr>
    </w:p>
    <w:p w14:paraId="19DF0368" w14:textId="77777777" w:rsidR="007F28D4" w:rsidRPr="008A3E14" w:rsidRDefault="007F28D4" w:rsidP="007F28D4">
      <w:pPr>
        <w:spacing w:after="0"/>
        <w:rPr>
          <w:rFonts w:ascii="Arial" w:hAnsi="Arial" w:cs="Arial"/>
          <w:b/>
          <w:color w:val="000000" w:themeColor="text1"/>
          <w:sz w:val="20"/>
          <w:szCs w:val="20"/>
        </w:rPr>
      </w:pPr>
      <w:r>
        <w:rPr>
          <w:rFonts w:ascii="Arial" w:hAnsi="Arial"/>
          <w:b/>
          <w:color w:val="000000" w:themeColor="text1"/>
          <w:sz w:val="20"/>
        </w:rPr>
        <w:t xml:space="preserve">Pierre Fabre : </w:t>
      </w:r>
    </w:p>
    <w:p w14:paraId="1B926534" w14:textId="296012FB" w:rsidR="007F28D4" w:rsidRPr="00206BFB" w:rsidRDefault="007F28D4" w:rsidP="007F28D4">
      <w:pPr>
        <w:spacing w:after="0"/>
        <w:rPr>
          <w:rFonts w:ascii="Arial" w:hAnsi="Arial" w:cs="Arial"/>
          <w:color w:val="000000" w:themeColor="text1"/>
          <w:sz w:val="20"/>
          <w:szCs w:val="20"/>
          <w:lang w:val="it-IT"/>
        </w:rPr>
      </w:pPr>
      <w:r w:rsidRPr="00206BFB">
        <w:rPr>
          <w:rFonts w:ascii="Arial" w:hAnsi="Arial"/>
          <w:color w:val="000000" w:themeColor="text1"/>
          <w:sz w:val="20"/>
          <w:lang w:val="it-IT"/>
        </w:rPr>
        <w:t xml:space="preserve">Laure </w:t>
      </w:r>
      <w:r w:rsidR="00206BFB" w:rsidRPr="00206BFB">
        <w:rPr>
          <w:rFonts w:ascii="Arial" w:hAnsi="Arial"/>
          <w:color w:val="000000" w:themeColor="text1"/>
          <w:sz w:val="20"/>
          <w:lang w:val="it-IT"/>
        </w:rPr>
        <w:t>SGANDURRA</w:t>
      </w:r>
    </w:p>
    <w:p w14:paraId="5A414D1D" w14:textId="77777777" w:rsidR="007F28D4" w:rsidRPr="00206BFB" w:rsidRDefault="007F28D4" w:rsidP="007F28D4">
      <w:pPr>
        <w:spacing w:after="0"/>
        <w:rPr>
          <w:rFonts w:ascii="Arial" w:hAnsi="Arial" w:cs="Arial"/>
          <w:color w:val="000000" w:themeColor="text1"/>
          <w:sz w:val="20"/>
          <w:szCs w:val="20"/>
          <w:lang w:val="it-IT"/>
        </w:rPr>
      </w:pPr>
      <w:r w:rsidRPr="00206BFB">
        <w:rPr>
          <w:rFonts w:ascii="Arial" w:hAnsi="Arial"/>
          <w:color w:val="000000" w:themeColor="text1"/>
          <w:sz w:val="20"/>
          <w:lang w:val="it-IT"/>
        </w:rPr>
        <w:t>+33 6 32 54 92 01</w:t>
      </w:r>
    </w:p>
    <w:p w14:paraId="1638277B" w14:textId="0286F3C6" w:rsidR="007F28D4" w:rsidRPr="00206BFB" w:rsidRDefault="00000000" w:rsidP="007F28D4">
      <w:pPr>
        <w:spacing w:after="0"/>
        <w:rPr>
          <w:rFonts w:ascii="Arial" w:hAnsi="Arial" w:cs="Arial"/>
          <w:color w:val="000000" w:themeColor="text1"/>
          <w:sz w:val="20"/>
          <w:szCs w:val="20"/>
          <w:lang w:val="it-IT"/>
        </w:rPr>
      </w:pPr>
      <w:hyperlink r:id="rId21" w:history="1">
        <w:r w:rsidR="00FC1716" w:rsidRPr="00206BFB">
          <w:rPr>
            <w:rStyle w:val="Lienhypertexte"/>
            <w:rFonts w:ascii="Arial" w:hAnsi="Arial"/>
            <w:sz w:val="20"/>
            <w:szCs w:val="20"/>
            <w:lang w:val="it-IT"/>
          </w:rPr>
          <w:t>laure.sgandurra@pierre-fabre.com</w:t>
        </w:r>
      </w:hyperlink>
      <w:r w:rsidR="00FC1716" w:rsidRPr="00206BFB">
        <w:rPr>
          <w:rFonts w:ascii="Arial" w:hAnsi="Arial"/>
          <w:color w:val="000000" w:themeColor="text1"/>
          <w:sz w:val="20"/>
          <w:lang w:val="it-IT"/>
        </w:rPr>
        <w:t xml:space="preserve"> </w:t>
      </w:r>
    </w:p>
    <w:p w14:paraId="0E42A283" w14:textId="2D613C2F" w:rsidR="007F28D4" w:rsidRPr="00206BFB" w:rsidRDefault="007F28D4" w:rsidP="007F28D4">
      <w:pPr>
        <w:spacing w:after="0"/>
        <w:rPr>
          <w:rFonts w:ascii="Arial" w:hAnsi="Arial" w:cs="Arial"/>
          <w:color w:val="000000" w:themeColor="text1"/>
          <w:sz w:val="20"/>
          <w:szCs w:val="20"/>
          <w:lang w:val="it-IT"/>
        </w:rPr>
      </w:pPr>
    </w:p>
    <w:p w14:paraId="6F1D1782" w14:textId="77777777" w:rsidR="008B7312" w:rsidRDefault="008B7312" w:rsidP="007F28D4">
      <w:pPr>
        <w:spacing w:after="0"/>
        <w:rPr>
          <w:rFonts w:ascii="Arial" w:hAnsi="Arial"/>
          <w:b/>
          <w:color w:val="000000" w:themeColor="text1"/>
          <w:sz w:val="20"/>
        </w:rPr>
      </w:pPr>
    </w:p>
    <w:p w14:paraId="0F25E963" w14:textId="18A438A0" w:rsidR="007F28D4" w:rsidRPr="008A3E14" w:rsidRDefault="007F28D4" w:rsidP="007F28D4">
      <w:pPr>
        <w:spacing w:after="0"/>
        <w:rPr>
          <w:rFonts w:ascii="Arial" w:hAnsi="Arial" w:cs="Arial"/>
          <w:b/>
          <w:bCs/>
          <w:i/>
          <w:color w:val="000000" w:themeColor="text1"/>
          <w:sz w:val="20"/>
          <w:szCs w:val="20"/>
        </w:rPr>
      </w:pPr>
      <w:proofErr w:type="spellStart"/>
      <w:r>
        <w:rPr>
          <w:rFonts w:ascii="Arial" w:hAnsi="Arial"/>
          <w:b/>
          <w:color w:val="000000" w:themeColor="text1"/>
          <w:sz w:val="20"/>
        </w:rPr>
        <w:lastRenderedPageBreak/>
        <w:t>Atara</w:t>
      </w:r>
      <w:proofErr w:type="spellEnd"/>
      <w:r>
        <w:rPr>
          <w:rFonts w:ascii="Arial" w:hAnsi="Arial"/>
          <w:b/>
          <w:color w:val="000000" w:themeColor="text1"/>
          <w:sz w:val="20"/>
        </w:rPr>
        <w:t> :</w:t>
      </w:r>
    </w:p>
    <w:p w14:paraId="3C773EDA" w14:textId="77777777" w:rsidR="007F28D4" w:rsidRPr="008A3E14" w:rsidRDefault="007F28D4" w:rsidP="007F28D4">
      <w:pPr>
        <w:spacing w:after="0"/>
        <w:rPr>
          <w:rFonts w:ascii="Arial" w:hAnsi="Arial" w:cs="Arial"/>
          <w:b/>
          <w:bCs/>
          <w:i/>
          <w:color w:val="000000" w:themeColor="text1"/>
          <w:sz w:val="20"/>
          <w:szCs w:val="20"/>
        </w:rPr>
      </w:pPr>
      <w:r>
        <w:rPr>
          <w:rFonts w:ascii="Arial" w:hAnsi="Arial"/>
          <w:b/>
          <w:i/>
          <w:color w:val="000000" w:themeColor="text1"/>
          <w:sz w:val="20"/>
        </w:rPr>
        <w:t>Investisseurs</w:t>
      </w:r>
    </w:p>
    <w:p w14:paraId="45B2FA66" w14:textId="503E2670" w:rsidR="007F28D4" w:rsidRPr="008A3E14" w:rsidRDefault="007F28D4" w:rsidP="007F28D4">
      <w:pPr>
        <w:spacing w:after="0"/>
        <w:rPr>
          <w:rFonts w:ascii="Arial" w:hAnsi="Arial" w:cs="Arial"/>
          <w:color w:val="000000" w:themeColor="text1"/>
          <w:sz w:val="20"/>
          <w:szCs w:val="20"/>
        </w:rPr>
      </w:pPr>
      <w:r>
        <w:rPr>
          <w:rFonts w:ascii="Arial" w:hAnsi="Arial"/>
          <w:color w:val="000000" w:themeColor="text1"/>
          <w:sz w:val="20"/>
        </w:rPr>
        <w:t xml:space="preserve">Eric </w:t>
      </w:r>
      <w:r w:rsidR="00206BFB">
        <w:rPr>
          <w:rFonts w:ascii="Arial" w:hAnsi="Arial"/>
          <w:color w:val="000000" w:themeColor="text1"/>
          <w:sz w:val="20"/>
        </w:rPr>
        <w:t>HYLLENGREN</w:t>
      </w:r>
    </w:p>
    <w:p w14:paraId="7E3D06A6" w14:textId="6F49938C" w:rsidR="007F28D4" w:rsidRPr="008A3E14" w:rsidRDefault="005D25D9" w:rsidP="007F28D4">
      <w:pPr>
        <w:spacing w:after="0"/>
        <w:rPr>
          <w:rFonts w:ascii="Arial" w:hAnsi="Arial" w:cs="Arial"/>
          <w:color w:val="000000" w:themeColor="text1"/>
          <w:sz w:val="20"/>
          <w:szCs w:val="20"/>
        </w:rPr>
      </w:pPr>
      <w:r>
        <w:rPr>
          <w:rFonts w:ascii="Arial" w:hAnsi="Arial"/>
          <w:color w:val="000000" w:themeColor="text1"/>
          <w:sz w:val="20"/>
        </w:rPr>
        <w:t xml:space="preserve">+1 </w:t>
      </w:r>
      <w:r w:rsidR="007F28D4">
        <w:rPr>
          <w:rFonts w:ascii="Arial" w:hAnsi="Arial"/>
          <w:color w:val="000000" w:themeColor="text1"/>
          <w:sz w:val="20"/>
        </w:rPr>
        <w:t>805-395-9669</w:t>
      </w:r>
    </w:p>
    <w:p w14:paraId="06350838" w14:textId="77777777" w:rsidR="007F28D4" w:rsidRPr="008A3E14" w:rsidRDefault="00000000" w:rsidP="007F28D4">
      <w:pPr>
        <w:spacing w:after="0"/>
        <w:rPr>
          <w:rFonts w:ascii="Arial" w:hAnsi="Arial" w:cs="Arial"/>
          <w:color w:val="000000" w:themeColor="text1"/>
          <w:sz w:val="20"/>
          <w:szCs w:val="20"/>
        </w:rPr>
      </w:pPr>
      <w:hyperlink r:id="rId22">
        <w:r w:rsidR="00FC1716">
          <w:rPr>
            <w:rStyle w:val="Lienhypertexte"/>
            <w:rFonts w:ascii="Arial" w:hAnsi="Arial"/>
            <w:sz w:val="20"/>
            <w:szCs w:val="20"/>
          </w:rPr>
          <w:t>ehyllengren@atarabio.com</w:t>
        </w:r>
      </w:hyperlink>
      <w:r w:rsidR="00FC1716">
        <w:rPr>
          <w:rFonts w:ascii="Arial" w:hAnsi="Arial"/>
          <w:color w:val="000000" w:themeColor="text1"/>
          <w:sz w:val="20"/>
        </w:rPr>
        <w:t xml:space="preserve"> </w:t>
      </w:r>
    </w:p>
    <w:p w14:paraId="3B88EDD6" w14:textId="77777777" w:rsidR="007F28D4" w:rsidRPr="00206BFB" w:rsidRDefault="007F28D4" w:rsidP="007F28D4">
      <w:pPr>
        <w:spacing w:after="0"/>
        <w:rPr>
          <w:rFonts w:ascii="Arial" w:hAnsi="Arial" w:cs="Arial"/>
          <w:b/>
          <w:bCs/>
          <w:color w:val="000000" w:themeColor="text1"/>
          <w:sz w:val="20"/>
          <w:szCs w:val="20"/>
        </w:rPr>
      </w:pPr>
    </w:p>
    <w:p w14:paraId="0F190C01" w14:textId="77777777" w:rsidR="007F28D4" w:rsidRPr="008A3E14" w:rsidRDefault="007F28D4" w:rsidP="007F28D4">
      <w:pPr>
        <w:spacing w:after="0"/>
        <w:rPr>
          <w:rFonts w:ascii="Arial" w:hAnsi="Arial" w:cs="Arial"/>
          <w:b/>
          <w:bCs/>
          <w:i/>
          <w:color w:val="000000" w:themeColor="text1"/>
          <w:sz w:val="20"/>
          <w:szCs w:val="20"/>
        </w:rPr>
      </w:pPr>
      <w:r>
        <w:rPr>
          <w:rFonts w:ascii="Arial" w:hAnsi="Arial"/>
          <w:b/>
          <w:i/>
          <w:color w:val="000000" w:themeColor="text1"/>
          <w:sz w:val="20"/>
        </w:rPr>
        <w:t>Médias</w:t>
      </w:r>
    </w:p>
    <w:p w14:paraId="4EEE2CFF" w14:textId="1B3A5525" w:rsidR="007F28D4" w:rsidRPr="008A3E14" w:rsidRDefault="007F28D4" w:rsidP="007F28D4">
      <w:pPr>
        <w:spacing w:after="0"/>
        <w:rPr>
          <w:rFonts w:ascii="Arial" w:hAnsi="Arial" w:cs="Arial"/>
          <w:color w:val="000000" w:themeColor="text1"/>
          <w:sz w:val="20"/>
          <w:szCs w:val="20"/>
        </w:rPr>
      </w:pPr>
      <w:r>
        <w:rPr>
          <w:rFonts w:ascii="Arial" w:hAnsi="Arial"/>
          <w:color w:val="000000" w:themeColor="text1"/>
          <w:sz w:val="20"/>
        </w:rPr>
        <w:t xml:space="preserve">Alex </w:t>
      </w:r>
      <w:r w:rsidR="00206BFB">
        <w:rPr>
          <w:rFonts w:ascii="Arial" w:hAnsi="Arial"/>
          <w:color w:val="000000" w:themeColor="text1"/>
          <w:sz w:val="20"/>
        </w:rPr>
        <w:t>CHAPMAN</w:t>
      </w:r>
    </w:p>
    <w:p w14:paraId="22411A0A" w14:textId="77D53CFC" w:rsidR="007F28D4" w:rsidRPr="008A3E14" w:rsidRDefault="005D25D9" w:rsidP="007F28D4">
      <w:pPr>
        <w:spacing w:after="0"/>
        <w:rPr>
          <w:rFonts w:ascii="Arial" w:hAnsi="Arial" w:cs="Arial"/>
          <w:color w:val="000000" w:themeColor="text1"/>
          <w:sz w:val="20"/>
          <w:szCs w:val="20"/>
        </w:rPr>
      </w:pPr>
      <w:r>
        <w:rPr>
          <w:rFonts w:ascii="Arial" w:hAnsi="Arial"/>
          <w:color w:val="000000" w:themeColor="text1"/>
          <w:sz w:val="20"/>
        </w:rPr>
        <w:t xml:space="preserve">+1 </w:t>
      </w:r>
      <w:r w:rsidR="007F28D4">
        <w:rPr>
          <w:rFonts w:ascii="Arial" w:hAnsi="Arial"/>
          <w:color w:val="000000" w:themeColor="text1"/>
          <w:sz w:val="20"/>
        </w:rPr>
        <w:t>805-456-4772</w:t>
      </w:r>
    </w:p>
    <w:p w14:paraId="3690BE96" w14:textId="77777777" w:rsidR="007F28D4" w:rsidRPr="008A3E14" w:rsidRDefault="00000000" w:rsidP="007F28D4">
      <w:pPr>
        <w:spacing w:after="0"/>
        <w:rPr>
          <w:rFonts w:ascii="Arial" w:hAnsi="Arial" w:cs="Arial"/>
          <w:color w:val="000000" w:themeColor="text1"/>
          <w:sz w:val="20"/>
          <w:szCs w:val="20"/>
        </w:rPr>
      </w:pPr>
      <w:hyperlink r:id="rId23">
        <w:r w:rsidR="00FC1716">
          <w:rPr>
            <w:rStyle w:val="Lienhypertexte"/>
            <w:rFonts w:ascii="Arial" w:hAnsi="Arial"/>
            <w:sz w:val="20"/>
            <w:szCs w:val="20"/>
          </w:rPr>
          <w:t>achapman@atarabio.com</w:t>
        </w:r>
      </w:hyperlink>
      <w:r w:rsidR="00FC1716">
        <w:rPr>
          <w:rFonts w:ascii="Arial" w:hAnsi="Arial"/>
          <w:color w:val="000000" w:themeColor="text1"/>
          <w:sz w:val="20"/>
        </w:rPr>
        <w:t xml:space="preserve"> </w:t>
      </w:r>
    </w:p>
    <w:p w14:paraId="26259F46" w14:textId="03EF3504" w:rsidR="001D0172" w:rsidRPr="008A3E14" w:rsidRDefault="001D0172" w:rsidP="001D0172">
      <w:pPr>
        <w:rPr>
          <w:rFonts w:ascii="Arial" w:hAnsi="Arial" w:cs="Arial"/>
          <w:lang w:val="pt-PT"/>
        </w:rPr>
      </w:pPr>
    </w:p>
    <w:sectPr w:rsidR="001D0172" w:rsidRPr="008A3E14" w:rsidSect="00F15D4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71E1" w14:textId="77777777" w:rsidR="0046026B" w:rsidRDefault="0046026B" w:rsidP="00F15D47">
      <w:pPr>
        <w:spacing w:after="0" w:line="240" w:lineRule="auto"/>
      </w:pPr>
      <w:r>
        <w:separator/>
      </w:r>
    </w:p>
  </w:endnote>
  <w:endnote w:type="continuationSeparator" w:id="0">
    <w:p w14:paraId="695C70C2" w14:textId="77777777" w:rsidR="0046026B" w:rsidRDefault="0046026B" w:rsidP="00F15D47">
      <w:pPr>
        <w:spacing w:after="0" w:line="240" w:lineRule="auto"/>
      </w:pPr>
      <w:r>
        <w:continuationSeparator/>
      </w:r>
    </w:p>
  </w:endnote>
  <w:endnote w:type="continuationNotice" w:id="1">
    <w:p w14:paraId="403A0C07" w14:textId="77777777" w:rsidR="0046026B" w:rsidRDefault="0046026B">
      <w:pPr>
        <w:spacing w:after="0" w:line="240" w:lineRule="auto"/>
      </w:pPr>
    </w:p>
  </w:endnote>
  <w:endnote w:id="2">
    <w:p w14:paraId="68B2143E" w14:textId="3B558AED" w:rsidR="003555BE" w:rsidRDefault="003555BE">
      <w:pPr>
        <w:pStyle w:val="Notedefin"/>
      </w:pPr>
      <w:r>
        <w:rPr>
          <w:rStyle w:val="Appeldenotedefin"/>
        </w:rPr>
        <w:endnoteRef/>
      </w:r>
      <w:r w:rsidRPr="008D5921">
        <w:rPr>
          <w:rFonts w:ascii="Arial" w:hAnsi="Arial"/>
          <w:sz w:val="18"/>
          <w:lang w:val="en-US"/>
        </w:rPr>
        <w:t xml:space="preserve"> Mahadeo KM, </w:t>
      </w:r>
      <w:r w:rsidRPr="008D5921">
        <w:rPr>
          <w:rFonts w:ascii="Arial" w:hAnsi="Arial"/>
          <w:i/>
          <w:sz w:val="18"/>
          <w:lang w:val="en-US"/>
        </w:rPr>
        <w:t>et al</w:t>
      </w:r>
      <w:r w:rsidRPr="008D5921">
        <w:rPr>
          <w:rFonts w:ascii="Arial" w:hAnsi="Arial"/>
          <w:sz w:val="18"/>
          <w:lang w:val="en-US"/>
        </w:rPr>
        <w:t xml:space="preserve">. New and Updated Results from a Multicenter, Open-Label, Global Phase 3 Study of Tabelecleucel (Tab-cel) for Epstein-Barr Virus-Positive Post-Transplant Lymphoproliferative Disease (EBV+ PTLD) Following Allogeneic Hematopoietic Cell (HCT) or Solid Organ Transplant (SOT) after Failure of Rituximab or Rituximab and Chemotherapy (ALLELE). </w:t>
      </w:r>
      <w:r>
        <w:rPr>
          <w:rFonts w:ascii="Arial" w:hAnsi="Arial"/>
          <w:i/>
          <w:sz w:val="18"/>
        </w:rPr>
        <w:t>Blood</w:t>
      </w:r>
      <w:r>
        <w:rPr>
          <w:rFonts w:ascii="Arial" w:hAnsi="Arial"/>
          <w:sz w:val="18"/>
        </w:rPr>
        <w:t>. 2022;140(1):</w:t>
      </w:r>
      <w:r>
        <w:t xml:space="preserve"> </w:t>
      </w:r>
      <w:r>
        <w:rPr>
          <w:rFonts w:ascii="Arial" w:hAnsi="Arial"/>
          <w:sz w:val="18"/>
        </w:rPr>
        <w:t>10374–10376.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B26" w14:textId="77777777" w:rsidR="0046026B" w:rsidRDefault="0046026B" w:rsidP="00F15D47">
      <w:pPr>
        <w:spacing w:after="0" w:line="240" w:lineRule="auto"/>
      </w:pPr>
      <w:r>
        <w:separator/>
      </w:r>
    </w:p>
  </w:footnote>
  <w:footnote w:type="continuationSeparator" w:id="0">
    <w:p w14:paraId="60085104" w14:textId="77777777" w:rsidR="0046026B" w:rsidRDefault="0046026B" w:rsidP="00F15D47">
      <w:pPr>
        <w:spacing w:after="0" w:line="240" w:lineRule="auto"/>
      </w:pPr>
      <w:r>
        <w:continuationSeparator/>
      </w:r>
    </w:p>
  </w:footnote>
  <w:footnote w:type="continuationNotice" w:id="1">
    <w:p w14:paraId="69DCB256" w14:textId="77777777" w:rsidR="0046026B" w:rsidRDefault="00460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D5"/>
    <w:multiLevelType w:val="hybridMultilevel"/>
    <w:tmpl w:val="C73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11CFE"/>
    <w:multiLevelType w:val="hybridMultilevel"/>
    <w:tmpl w:val="CA28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07BD1"/>
    <w:multiLevelType w:val="hybridMultilevel"/>
    <w:tmpl w:val="A904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31077">
    <w:abstractNumId w:val="1"/>
  </w:num>
  <w:num w:numId="2" w16cid:durableId="221794487">
    <w:abstractNumId w:val="2"/>
  </w:num>
  <w:num w:numId="3" w16cid:durableId="10762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B"/>
    <w:rsid w:val="00000089"/>
    <w:rsid w:val="0000031D"/>
    <w:rsid w:val="00002974"/>
    <w:rsid w:val="00003D38"/>
    <w:rsid w:val="00003D7C"/>
    <w:rsid w:val="00011D11"/>
    <w:rsid w:val="00011E3F"/>
    <w:rsid w:val="00012AEB"/>
    <w:rsid w:val="00016805"/>
    <w:rsid w:val="000200C4"/>
    <w:rsid w:val="000312FB"/>
    <w:rsid w:val="00031C29"/>
    <w:rsid w:val="00037992"/>
    <w:rsid w:val="00041579"/>
    <w:rsid w:val="00045FB4"/>
    <w:rsid w:val="000503CB"/>
    <w:rsid w:val="000525B5"/>
    <w:rsid w:val="0006136E"/>
    <w:rsid w:val="0006145E"/>
    <w:rsid w:val="000634F8"/>
    <w:rsid w:val="00063FCD"/>
    <w:rsid w:val="00064391"/>
    <w:rsid w:val="0007169E"/>
    <w:rsid w:val="00074733"/>
    <w:rsid w:val="00081728"/>
    <w:rsid w:val="00083904"/>
    <w:rsid w:val="00093156"/>
    <w:rsid w:val="00093C07"/>
    <w:rsid w:val="00094D20"/>
    <w:rsid w:val="000A24A7"/>
    <w:rsid w:val="000B130C"/>
    <w:rsid w:val="000B502F"/>
    <w:rsid w:val="000B7675"/>
    <w:rsid w:val="000C0911"/>
    <w:rsid w:val="000C1D88"/>
    <w:rsid w:val="000C646D"/>
    <w:rsid w:val="000D19EE"/>
    <w:rsid w:val="000D4BE1"/>
    <w:rsid w:val="000D5887"/>
    <w:rsid w:val="000E27E9"/>
    <w:rsid w:val="000E39C2"/>
    <w:rsid w:val="000F774C"/>
    <w:rsid w:val="00100F11"/>
    <w:rsid w:val="001044BE"/>
    <w:rsid w:val="00104701"/>
    <w:rsid w:val="00107EA8"/>
    <w:rsid w:val="00110BCC"/>
    <w:rsid w:val="00111263"/>
    <w:rsid w:val="00112FFE"/>
    <w:rsid w:val="00114F35"/>
    <w:rsid w:val="00121848"/>
    <w:rsid w:val="00124F6A"/>
    <w:rsid w:val="0012699B"/>
    <w:rsid w:val="00126F37"/>
    <w:rsid w:val="00141604"/>
    <w:rsid w:val="0014279E"/>
    <w:rsid w:val="001436AB"/>
    <w:rsid w:val="00160607"/>
    <w:rsid w:val="001670A5"/>
    <w:rsid w:val="001713BF"/>
    <w:rsid w:val="001737C1"/>
    <w:rsid w:val="001741E7"/>
    <w:rsid w:val="00174C07"/>
    <w:rsid w:val="001770F3"/>
    <w:rsid w:val="00177C7A"/>
    <w:rsid w:val="001801BC"/>
    <w:rsid w:val="00184012"/>
    <w:rsid w:val="00185BBA"/>
    <w:rsid w:val="00190199"/>
    <w:rsid w:val="001A1981"/>
    <w:rsid w:val="001A2639"/>
    <w:rsid w:val="001A4E29"/>
    <w:rsid w:val="001B07BB"/>
    <w:rsid w:val="001C06EB"/>
    <w:rsid w:val="001C0ED6"/>
    <w:rsid w:val="001C3A73"/>
    <w:rsid w:val="001C79A1"/>
    <w:rsid w:val="001D0172"/>
    <w:rsid w:val="001D63B0"/>
    <w:rsid w:val="001E3BDF"/>
    <w:rsid w:val="001E56D0"/>
    <w:rsid w:val="001F0558"/>
    <w:rsid w:val="001F58FA"/>
    <w:rsid w:val="001F6B08"/>
    <w:rsid w:val="0020284A"/>
    <w:rsid w:val="00205FC0"/>
    <w:rsid w:val="00205FFE"/>
    <w:rsid w:val="00206BFB"/>
    <w:rsid w:val="002071A8"/>
    <w:rsid w:val="00212EA5"/>
    <w:rsid w:val="00225EC8"/>
    <w:rsid w:val="00227E41"/>
    <w:rsid w:val="00230A0A"/>
    <w:rsid w:val="00230BBB"/>
    <w:rsid w:val="00230C8F"/>
    <w:rsid w:val="00233968"/>
    <w:rsid w:val="002350C9"/>
    <w:rsid w:val="002450FF"/>
    <w:rsid w:val="00246205"/>
    <w:rsid w:val="0025049C"/>
    <w:rsid w:val="00252241"/>
    <w:rsid w:val="00257B8A"/>
    <w:rsid w:val="002606C2"/>
    <w:rsid w:val="002617C1"/>
    <w:rsid w:val="00272A5F"/>
    <w:rsid w:val="00275682"/>
    <w:rsid w:val="00280118"/>
    <w:rsid w:val="00280149"/>
    <w:rsid w:val="0029116A"/>
    <w:rsid w:val="00291F4A"/>
    <w:rsid w:val="00292D65"/>
    <w:rsid w:val="002A4B8F"/>
    <w:rsid w:val="002A728B"/>
    <w:rsid w:val="002B05FA"/>
    <w:rsid w:val="002B0D23"/>
    <w:rsid w:val="002B3053"/>
    <w:rsid w:val="002B4181"/>
    <w:rsid w:val="002B6629"/>
    <w:rsid w:val="002B73C0"/>
    <w:rsid w:val="002C3646"/>
    <w:rsid w:val="002C4C18"/>
    <w:rsid w:val="002C71CB"/>
    <w:rsid w:val="002D0FC3"/>
    <w:rsid w:val="002D2116"/>
    <w:rsid w:val="002D22E6"/>
    <w:rsid w:val="002D709D"/>
    <w:rsid w:val="002E3B0A"/>
    <w:rsid w:val="002E3B51"/>
    <w:rsid w:val="002E5224"/>
    <w:rsid w:val="002F30C6"/>
    <w:rsid w:val="002F6E72"/>
    <w:rsid w:val="002F7385"/>
    <w:rsid w:val="00304CE9"/>
    <w:rsid w:val="0030717F"/>
    <w:rsid w:val="003071BC"/>
    <w:rsid w:val="003128F8"/>
    <w:rsid w:val="00313003"/>
    <w:rsid w:val="00313BD7"/>
    <w:rsid w:val="00325043"/>
    <w:rsid w:val="00326D6F"/>
    <w:rsid w:val="00327272"/>
    <w:rsid w:val="00333D3E"/>
    <w:rsid w:val="00342366"/>
    <w:rsid w:val="00342CCB"/>
    <w:rsid w:val="00346FDB"/>
    <w:rsid w:val="003519B5"/>
    <w:rsid w:val="00353C9C"/>
    <w:rsid w:val="00354498"/>
    <w:rsid w:val="003555BE"/>
    <w:rsid w:val="00365D82"/>
    <w:rsid w:val="003732BE"/>
    <w:rsid w:val="00374026"/>
    <w:rsid w:val="0038138A"/>
    <w:rsid w:val="003A4EA1"/>
    <w:rsid w:val="003D47A7"/>
    <w:rsid w:val="003E0902"/>
    <w:rsid w:val="003F342F"/>
    <w:rsid w:val="00405A93"/>
    <w:rsid w:val="00416B60"/>
    <w:rsid w:val="00416C1C"/>
    <w:rsid w:val="00420A5A"/>
    <w:rsid w:val="0042239F"/>
    <w:rsid w:val="00434A89"/>
    <w:rsid w:val="004464A2"/>
    <w:rsid w:val="0044656E"/>
    <w:rsid w:val="00453359"/>
    <w:rsid w:val="004534F5"/>
    <w:rsid w:val="00453A1C"/>
    <w:rsid w:val="00456C40"/>
    <w:rsid w:val="0046026B"/>
    <w:rsid w:val="004629ED"/>
    <w:rsid w:val="00467938"/>
    <w:rsid w:val="00467FA0"/>
    <w:rsid w:val="00470F44"/>
    <w:rsid w:val="00471B8E"/>
    <w:rsid w:val="00473604"/>
    <w:rsid w:val="00482F6D"/>
    <w:rsid w:val="00483A62"/>
    <w:rsid w:val="00483A66"/>
    <w:rsid w:val="00484AF5"/>
    <w:rsid w:val="00494771"/>
    <w:rsid w:val="004A0C35"/>
    <w:rsid w:val="004A9D0F"/>
    <w:rsid w:val="004B118A"/>
    <w:rsid w:val="004B27D4"/>
    <w:rsid w:val="004B6171"/>
    <w:rsid w:val="004B6E3E"/>
    <w:rsid w:val="004C15AE"/>
    <w:rsid w:val="004D3172"/>
    <w:rsid w:val="004D3DCC"/>
    <w:rsid w:val="004E2FA9"/>
    <w:rsid w:val="004E5045"/>
    <w:rsid w:val="004E736D"/>
    <w:rsid w:val="004F1F8C"/>
    <w:rsid w:val="004F3330"/>
    <w:rsid w:val="004F4398"/>
    <w:rsid w:val="004F6BDA"/>
    <w:rsid w:val="00510D9C"/>
    <w:rsid w:val="00515D39"/>
    <w:rsid w:val="00521FEA"/>
    <w:rsid w:val="00524C2D"/>
    <w:rsid w:val="0053056A"/>
    <w:rsid w:val="005316F4"/>
    <w:rsid w:val="00556BCA"/>
    <w:rsid w:val="00557A37"/>
    <w:rsid w:val="00560785"/>
    <w:rsid w:val="00565238"/>
    <w:rsid w:val="00573855"/>
    <w:rsid w:val="00577E22"/>
    <w:rsid w:val="005810C4"/>
    <w:rsid w:val="00581692"/>
    <w:rsid w:val="00581E44"/>
    <w:rsid w:val="00582AC9"/>
    <w:rsid w:val="00590278"/>
    <w:rsid w:val="005920C8"/>
    <w:rsid w:val="00595930"/>
    <w:rsid w:val="005A18E6"/>
    <w:rsid w:val="005B2CAE"/>
    <w:rsid w:val="005B5078"/>
    <w:rsid w:val="005C40C2"/>
    <w:rsid w:val="005D0FDE"/>
    <w:rsid w:val="005D14EF"/>
    <w:rsid w:val="005D2390"/>
    <w:rsid w:val="005D25D9"/>
    <w:rsid w:val="005D4496"/>
    <w:rsid w:val="005D699C"/>
    <w:rsid w:val="005D7763"/>
    <w:rsid w:val="005F5458"/>
    <w:rsid w:val="00620091"/>
    <w:rsid w:val="00623993"/>
    <w:rsid w:val="00634A97"/>
    <w:rsid w:val="00640CDD"/>
    <w:rsid w:val="00662EE4"/>
    <w:rsid w:val="006645BA"/>
    <w:rsid w:val="00670554"/>
    <w:rsid w:val="00672B26"/>
    <w:rsid w:val="00676133"/>
    <w:rsid w:val="006817AE"/>
    <w:rsid w:val="00682901"/>
    <w:rsid w:val="0069255A"/>
    <w:rsid w:val="006959E4"/>
    <w:rsid w:val="006A0587"/>
    <w:rsid w:val="006A7C11"/>
    <w:rsid w:val="006B4317"/>
    <w:rsid w:val="006B5D36"/>
    <w:rsid w:val="006C4A04"/>
    <w:rsid w:val="006C5B31"/>
    <w:rsid w:val="006D1B7F"/>
    <w:rsid w:val="006D48FF"/>
    <w:rsid w:val="006D668B"/>
    <w:rsid w:val="006E1636"/>
    <w:rsid w:val="006E1BE6"/>
    <w:rsid w:val="006E2282"/>
    <w:rsid w:val="006E2306"/>
    <w:rsid w:val="006E3E45"/>
    <w:rsid w:val="006F5542"/>
    <w:rsid w:val="006F73E6"/>
    <w:rsid w:val="00701CCE"/>
    <w:rsid w:val="00706078"/>
    <w:rsid w:val="00710B72"/>
    <w:rsid w:val="00721C7A"/>
    <w:rsid w:val="007235CA"/>
    <w:rsid w:val="00731D64"/>
    <w:rsid w:val="00734DF3"/>
    <w:rsid w:val="007351AA"/>
    <w:rsid w:val="0073593B"/>
    <w:rsid w:val="00740859"/>
    <w:rsid w:val="00741866"/>
    <w:rsid w:val="00741886"/>
    <w:rsid w:val="00743E26"/>
    <w:rsid w:val="0074578B"/>
    <w:rsid w:val="00751C5F"/>
    <w:rsid w:val="00756C55"/>
    <w:rsid w:val="007604EE"/>
    <w:rsid w:val="0077096E"/>
    <w:rsid w:val="00775372"/>
    <w:rsid w:val="00776606"/>
    <w:rsid w:val="007779E6"/>
    <w:rsid w:val="00781B09"/>
    <w:rsid w:val="00781B55"/>
    <w:rsid w:val="00785791"/>
    <w:rsid w:val="007876FE"/>
    <w:rsid w:val="0079155E"/>
    <w:rsid w:val="00797664"/>
    <w:rsid w:val="007A1406"/>
    <w:rsid w:val="007A6D96"/>
    <w:rsid w:val="007B66CC"/>
    <w:rsid w:val="007B7561"/>
    <w:rsid w:val="007C4CEC"/>
    <w:rsid w:val="007C566E"/>
    <w:rsid w:val="007D4BE8"/>
    <w:rsid w:val="007E1837"/>
    <w:rsid w:val="007E312D"/>
    <w:rsid w:val="007E7C4F"/>
    <w:rsid w:val="007F28D4"/>
    <w:rsid w:val="007F45E2"/>
    <w:rsid w:val="007F4FAB"/>
    <w:rsid w:val="007F5DC3"/>
    <w:rsid w:val="0080143B"/>
    <w:rsid w:val="0080330D"/>
    <w:rsid w:val="008067D1"/>
    <w:rsid w:val="008079B3"/>
    <w:rsid w:val="00810F2A"/>
    <w:rsid w:val="0081274D"/>
    <w:rsid w:val="00813CCE"/>
    <w:rsid w:val="0081788B"/>
    <w:rsid w:val="00822456"/>
    <w:rsid w:val="00823FB8"/>
    <w:rsid w:val="00825B51"/>
    <w:rsid w:val="00827F87"/>
    <w:rsid w:val="00831C23"/>
    <w:rsid w:val="008376D7"/>
    <w:rsid w:val="00840BEB"/>
    <w:rsid w:val="008430D1"/>
    <w:rsid w:val="0085226E"/>
    <w:rsid w:val="00852FF0"/>
    <w:rsid w:val="00853BAA"/>
    <w:rsid w:val="00856983"/>
    <w:rsid w:val="008655CC"/>
    <w:rsid w:val="008713C2"/>
    <w:rsid w:val="0088082F"/>
    <w:rsid w:val="00882119"/>
    <w:rsid w:val="00884C0B"/>
    <w:rsid w:val="008852A9"/>
    <w:rsid w:val="0089068C"/>
    <w:rsid w:val="0089160D"/>
    <w:rsid w:val="00894CE9"/>
    <w:rsid w:val="00895CCF"/>
    <w:rsid w:val="008A1548"/>
    <w:rsid w:val="008A3E14"/>
    <w:rsid w:val="008A5B9E"/>
    <w:rsid w:val="008A78E3"/>
    <w:rsid w:val="008B7312"/>
    <w:rsid w:val="008C1E77"/>
    <w:rsid w:val="008C64EA"/>
    <w:rsid w:val="008C6743"/>
    <w:rsid w:val="008C7D12"/>
    <w:rsid w:val="008D4CA1"/>
    <w:rsid w:val="008D5921"/>
    <w:rsid w:val="008D5960"/>
    <w:rsid w:val="008D7728"/>
    <w:rsid w:val="008E1B11"/>
    <w:rsid w:val="008E1F92"/>
    <w:rsid w:val="008E2544"/>
    <w:rsid w:val="008E56F6"/>
    <w:rsid w:val="008E7313"/>
    <w:rsid w:val="008F42B1"/>
    <w:rsid w:val="008F4E9C"/>
    <w:rsid w:val="008F5F79"/>
    <w:rsid w:val="00920101"/>
    <w:rsid w:val="0093276F"/>
    <w:rsid w:val="00933FFF"/>
    <w:rsid w:val="009355F8"/>
    <w:rsid w:val="0093792F"/>
    <w:rsid w:val="00944255"/>
    <w:rsid w:val="00947879"/>
    <w:rsid w:val="00952299"/>
    <w:rsid w:val="0095756F"/>
    <w:rsid w:val="0096009E"/>
    <w:rsid w:val="00960C50"/>
    <w:rsid w:val="00962D51"/>
    <w:rsid w:val="0096318F"/>
    <w:rsid w:val="00966D4D"/>
    <w:rsid w:val="009713AC"/>
    <w:rsid w:val="00972E5B"/>
    <w:rsid w:val="00975369"/>
    <w:rsid w:val="00981AF8"/>
    <w:rsid w:val="00985A1B"/>
    <w:rsid w:val="00987F09"/>
    <w:rsid w:val="0099723A"/>
    <w:rsid w:val="00997906"/>
    <w:rsid w:val="009A121C"/>
    <w:rsid w:val="009A39D4"/>
    <w:rsid w:val="009A4E07"/>
    <w:rsid w:val="009A4EFC"/>
    <w:rsid w:val="009A6B12"/>
    <w:rsid w:val="009B0279"/>
    <w:rsid w:val="009B1744"/>
    <w:rsid w:val="009B5DB1"/>
    <w:rsid w:val="009C23E0"/>
    <w:rsid w:val="009C2B23"/>
    <w:rsid w:val="009C5E24"/>
    <w:rsid w:val="009C6EEB"/>
    <w:rsid w:val="009D5146"/>
    <w:rsid w:val="009E092F"/>
    <w:rsid w:val="009F0B6B"/>
    <w:rsid w:val="00A001A7"/>
    <w:rsid w:val="00A010D1"/>
    <w:rsid w:val="00A06E23"/>
    <w:rsid w:val="00A14C0F"/>
    <w:rsid w:val="00A15DDD"/>
    <w:rsid w:val="00A167F9"/>
    <w:rsid w:val="00A1730E"/>
    <w:rsid w:val="00A17C0D"/>
    <w:rsid w:val="00A33518"/>
    <w:rsid w:val="00A351A4"/>
    <w:rsid w:val="00A35EFE"/>
    <w:rsid w:val="00A42AC7"/>
    <w:rsid w:val="00A44494"/>
    <w:rsid w:val="00A45D3A"/>
    <w:rsid w:val="00A57D43"/>
    <w:rsid w:val="00A62071"/>
    <w:rsid w:val="00A728A9"/>
    <w:rsid w:val="00A73018"/>
    <w:rsid w:val="00A7408D"/>
    <w:rsid w:val="00A818AA"/>
    <w:rsid w:val="00A81C3A"/>
    <w:rsid w:val="00A84AC7"/>
    <w:rsid w:val="00A878D8"/>
    <w:rsid w:val="00A9726A"/>
    <w:rsid w:val="00AA1F2D"/>
    <w:rsid w:val="00AA2886"/>
    <w:rsid w:val="00AC2372"/>
    <w:rsid w:val="00AC254F"/>
    <w:rsid w:val="00AD0C5F"/>
    <w:rsid w:val="00AD2E70"/>
    <w:rsid w:val="00AD5B4E"/>
    <w:rsid w:val="00AE2BA0"/>
    <w:rsid w:val="00AE7A18"/>
    <w:rsid w:val="00AF30CF"/>
    <w:rsid w:val="00AF7305"/>
    <w:rsid w:val="00B011E4"/>
    <w:rsid w:val="00B02B9C"/>
    <w:rsid w:val="00B036A7"/>
    <w:rsid w:val="00B053F6"/>
    <w:rsid w:val="00B0752B"/>
    <w:rsid w:val="00B16CFB"/>
    <w:rsid w:val="00B1765F"/>
    <w:rsid w:val="00B211DF"/>
    <w:rsid w:val="00B21A5B"/>
    <w:rsid w:val="00B2225F"/>
    <w:rsid w:val="00B33BE2"/>
    <w:rsid w:val="00B36D3C"/>
    <w:rsid w:val="00B462D5"/>
    <w:rsid w:val="00B501D9"/>
    <w:rsid w:val="00B5115E"/>
    <w:rsid w:val="00B62085"/>
    <w:rsid w:val="00B723E5"/>
    <w:rsid w:val="00B73945"/>
    <w:rsid w:val="00B73E79"/>
    <w:rsid w:val="00B84000"/>
    <w:rsid w:val="00B84AE9"/>
    <w:rsid w:val="00B87BE3"/>
    <w:rsid w:val="00B92EB7"/>
    <w:rsid w:val="00B96531"/>
    <w:rsid w:val="00B97932"/>
    <w:rsid w:val="00BA446C"/>
    <w:rsid w:val="00BA4AD5"/>
    <w:rsid w:val="00BA57DA"/>
    <w:rsid w:val="00BA770C"/>
    <w:rsid w:val="00BB170B"/>
    <w:rsid w:val="00BB428C"/>
    <w:rsid w:val="00BB7DF4"/>
    <w:rsid w:val="00BC1347"/>
    <w:rsid w:val="00BC1D55"/>
    <w:rsid w:val="00BC290B"/>
    <w:rsid w:val="00BC4340"/>
    <w:rsid w:val="00BD1FD3"/>
    <w:rsid w:val="00BE583A"/>
    <w:rsid w:val="00BE7260"/>
    <w:rsid w:val="00BF53EF"/>
    <w:rsid w:val="00BF5684"/>
    <w:rsid w:val="00BF5A3B"/>
    <w:rsid w:val="00C0348C"/>
    <w:rsid w:val="00C05A98"/>
    <w:rsid w:val="00C1165D"/>
    <w:rsid w:val="00C136EB"/>
    <w:rsid w:val="00C21A51"/>
    <w:rsid w:val="00C258CD"/>
    <w:rsid w:val="00C27DF9"/>
    <w:rsid w:val="00C36C6E"/>
    <w:rsid w:val="00C4346E"/>
    <w:rsid w:val="00C44991"/>
    <w:rsid w:val="00C44EE6"/>
    <w:rsid w:val="00C515FE"/>
    <w:rsid w:val="00C558FD"/>
    <w:rsid w:val="00C60FD6"/>
    <w:rsid w:val="00C62263"/>
    <w:rsid w:val="00C6354B"/>
    <w:rsid w:val="00C63D00"/>
    <w:rsid w:val="00C66C79"/>
    <w:rsid w:val="00C74C3C"/>
    <w:rsid w:val="00C8015B"/>
    <w:rsid w:val="00C909FD"/>
    <w:rsid w:val="00C927FF"/>
    <w:rsid w:val="00C9471D"/>
    <w:rsid w:val="00C97EB4"/>
    <w:rsid w:val="00CA3104"/>
    <w:rsid w:val="00CA41C7"/>
    <w:rsid w:val="00CA456A"/>
    <w:rsid w:val="00CB2CAD"/>
    <w:rsid w:val="00CB30CB"/>
    <w:rsid w:val="00CB70C5"/>
    <w:rsid w:val="00CC18A9"/>
    <w:rsid w:val="00CC2C6C"/>
    <w:rsid w:val="00CC4F2A"/>
    <w:rsid w:val="00CC7EAB"/>
    <w:rsid w:val="00CD1954"/>
    <w:rsid w:val="00CD39DF"/>
    <w:rsid w:val="00CD3A15"/>
    <w:rsid w:val="00CD6161"/>
    <w:rsid w:val="00CE122E"/>
    <w:rsid w:val="00CE5D51"/>
    <w:rsid w:val="00CF0306"/>
    <w:rsid w:val="00CF24AB"/>
    <w:rsid w:val="00CF4B85"/>
    <w:rsid w:val="00CF4FC8"/>
    <w:rsid w:val="00D04896"/>
    <w:rsid w:val="00D062C3"/>
    <w:rsid w:val="00D21315"/>
    <w:rsid w:val="00D23683"/>
    <w:rsid w:val="00D37D73"/>
    <w:rsid w:val="00D37DD0"/>
    <w:rsid w:val="00D42262"/>
    <w:rsid w:val="00D428DC"/>
    <w:rsid w:val="00D43D44"/>
    <w:rsid w:val="00D45026"/>
    <w:rsid w:val="00D55C01"/>
    <w:rsid w:val="00D641D2"/>
    <w:rsid w:val="00D72493"/>
    <w:rsid w:val="00D84B58"/>
    <w:rsid w:val="00D86A51"/>
    <w:rsid w:val="00D87A27"/>
    <w:rsid w:val="00D93887"/>
    <w:rsid w:val="00D95531"/>
    <w:rsid w:val="00DA2888"/>
    <w:rsid w:val="00DB006A"/>
    <w:rsid w:val="00DB0E30"/>
    <w:rsid w:val="00DB7365"/>
    <w:rsid w:val="00DC0A3C"/>
    <w:rsid w:val="00DC2C7D"/>
    <w:rsid w:val="00DD0651"/>
    <w:rsid w:val="00DD4D4F"/>
    <w:rsid w:val="00DE2A1B"/>
    <w:rsid w:val="00DE6C4B"/>
    <w:rsid w:val="00DF2114"/>
    <w:rsid w:val="00DF22A4"/>
    <w:rsid w:val="00DF62B8"/>
    <w:rsid w:val="00E05DE8"/>
    <w:rsid w:val="00E13271"/>
    <w:rsid w:val="00E13EAD"/>
    <w:rsid w:val="00E1417B"/>
    <w:rsid w:val="00E1537B"/>
    <w:rsid w:val="00E2277E"/>
    <w:rsid w:val="00E24371"/>
    <w:rsid w:val="00E26939"/>
    <w:rsid w:val="00E34C86"/>
    <w:rsid w:val="00E366EF"/>
    <w:rsid w:val="00E36B3A"/>
    <w:rsid w:val="00E44BA2"/>
    <w:rsid w:val="00E47F04"/>
    <w:rsid w:val="00E56259"/>
    <w:rsid w:val="00E6129E"/>
    <w:rsid w:val="00E61DD5"/>
    <w:rsid w:val="00E65A70"/>
    <w:rsid w:val="00E70496"/>
    <w:rsid w:val="00E7171D"/>
    <w:rsid w:val="00E7177F"/>
    <w:rsid w:val="00E753B7"/>
    <w:rsid w:val="00E852E1"/>
    <w:rsid w:val="00E93899"/>
    <w:rsid w:val="00EA23D9"/>
    <w:rsid w:val="00EA581A"/>
    <w:rsid w:val="00EB1545"/>
    <w:rsid w:val="00EB4043"/>
    <w:rsid w:val="00EB6A8F"/>
    <w:rsid w:val="00EB76F2"/>
    <w:rsid w:val="00EC4E37"/>
    <w:rsid w:val="00ED0029"/>
    <w:rsid w:val="00ED0038"/>
    <w:rsid w:val="00ED6AB8"/>
    <w:rsid w:val="00EE7CEA"/>
    <w:rsid w:val="00EF1396"/>
    <w:rsid w:val="00EF1ED3"/>
    <w:rsid w:val="00EF34A0"/>
    <w:rsid w:val="00F01618"/>
    <w:rsid w:val="00F15D47"/>
    <w:rsid w:val="00F1725E"/>
    <w:rsid w:val="00F25843"/>
    <w:rsid w:val="00F339D6"/>
    <w:rsid w:val="00F42F4A"/>
    <w:rsid w:val="00F4573C"/>
    <w:rsid w:val="00F558A4"/>
    <w:rsid w:val="00F630D7"/>
    <w:rsid w:val="00F70865"/>
    <w:rsid w:val="00F83572"/>
    <w:rsid w:val="00F879D1"/>
    <w:rsid w:val="00F87A15"/>
    <w:rsid w:val="00F929E5"/>
    <w:rsid w:val="00F930AF"/>
    <w:rsid w:val="00F93805"/>
    <w:rsid w:val="00FA2139"/>
    <w:rsid w:val="00FA5128"/>
    <w:rsid w:val="00FA77BA"/>
    <w:rsid w:val="00FC1716"/>
    <w:rsid w:val="00FC31AC"/>
    <w:rsid w:val="00FC406D"/>
    <w:rsid w:val="00FC460B"/>
    <w:rsid w:val="00FC5156"/>
    <w:rsid w:val="00FC68D2"/>
    <w:rsid w:val="00FD62C1"/>
    <w:rsid w:val="00FD6E87"/>
    <w:rsid w:val="00FF1B60"/>
    <w:rsid w:val="00FF22C6"/>
    <w:rsid w:val="00FF4FC9"/>
    <w:rsid w:val="00FF65A5"/>
    <w:rsid w:val="01A9FBDA"/>
    <w:rsid w:val="0231CFED"/>
    <w:rsid w:val="02D7B907"/>
    <w:rsid w:val="030E998D"/>
    <w:rsid w:val="0310E0D8"/>
    <w:rsid w:val="04F2297E"/>
    <w:rsid w:val="07A817B2"/>
    <w:rsid w:val="07D5F3A4"/>
    <w:rsid w:val="0826E978"/>
    <w:rsid w:val="08277667"/>
    <w:rsid w:val="0A5A19D6"/>
    <w:rsid w:val="0DCD8A6D"/>
    <w:rsid w:val="0EF03731"/>
    <w:rsid w:val="0F6C100F"/>
    <w:rsid w:val="0F92EA01"/>
    <w:rsid w:val="1057C389"/>
    <w:rsid w:val="121A2786"/>
    <w:rsid w:val="12208C96"/>
    <w:rsid w:val="133D05D1"/>
    <w:rsid w:val="133F2E43"/>
    <w:rsid w:val="14CA63D4"/>
    <w:rsid w:val="160F640A"/>
    <w:rsid w:val="1B012FDD"/>
    <w:rsid w:val="1BB2F287"/>
    <w:rsid w:val="1BF502B3"/>
    <w:rsid w:val="1C80E034"/>
    <w:rsid w:val="1CA5BE5D"/>
    <w:rsid w:val="1FE53212"/>
    <w:rsid w:val="207DD881"/>
    <w:rsid w:val="208945AA"/>
    <w:rsid w:val="21C6A90E"/>
    <w:rsid w:val="228A064A"/>
    <w:rsid w:val="23B9D21A"/>
    <w:rsid w:val="24162F6B"/>
    <w:rsid w:val="245A14D9"/>
    <w:rsid w:val="25E684C5"/>
    <w:rsid w:val="289DFA56"/>
    <w:rsid w:val="28CD91DB"/>
    <w:rsid w:val="2992C6B9"/>
    <w:rsid w:val="29D27248"/>
    <w:rsid w:val="2B9723D2"/>
    <w:rsid w:val="2BB66E8A"/>
    <w:rsid w:val="2E5CC249"/>
    <w:rsid w:val="2EF2C213"/>
    <w:rsid w:val="2FBD8D23"/>
    <w:rsid w:val="31D17818"/>
    <w:rsid w:val="31F30ED3"/>
    <w:rsid w:val="33331131"/>
    <w:rsid w:val="36706793"/>
    <w:rsid w:val="3745BF5E"/>
    <w:rsid w:val="39C6B441"/>
    <w:rsid w:val="39DA2DFA"/>
    <w:rsid w:val="3A62AFDF"/>
    <w:rsid w:val="3A93427B"/>
    <w:rsid w:val="3AEE9EE4"/>
    <w:rsid w:val="3B081AC5"/>
    <w:rsid w:val="3DD03E60"/>
    <w:rsid w:val="3E1E20B7"/>
    <w:rsid w:val="40134644"/>
    <w:rsid w:val="4078959B"/>
    <w:rsid w:val="41CE158E"/>
    <w:rsid w:val="433EA278"/>
    <w:rsid w:val="433F648A"/>
    <w:rsid w:val="4378AC07"/>
    <w:rsid w:val="44763317"/>
    <w:rsid w:val="47684572"/>
    <w:rsid w:val="48C1A51A"/>
    <w:rsid w:val="48F462EF"/>
    <w:rsid w:val="4A828FED"/>
    <w:rsid w:val="4BE50A7A"/>
    <w:rsid w:val="4CECFAB5"/>
    <w:rsid w:val="4DD2E071"/>
    <w:rsid w:val="4E2A5D8B"/>
    <w:rsid w:val="4E97F373"/>
    <w:rsid w:val="4F1548B0"/>
    <w:rsid w:val="50F23BAA"/>
    <w:rsid w:val="52C6EC2D"/>
    <w:rsid w:val="543A5D67"/>
    <w:rsid w:val="54F5947E"/>
    <w:rsid w:val="55311D75"/>
    <w:rsid w:val="55D324D0"/>
    <w:rsid w:val="55F0F8AA"/>
    <w:rsid w:val="564B82FD"/>
    <w:rsid w:val="565054E0"/>
    <w:rsid w:val="567B31DA"/>
    <w:rsid w:val="574DB32C"/>
    <w:rsid w:val="57A80538"/>
    <w:rsid w:val="5835C8DD"/>
    <w:rsid w:val="58855A58"/>
    <w:rsid w:val="5A6912F2"/>
    <w:rsid w:val="5BE5DA3B"/>
    <w:rsid w:val="5C76D570"/>
    <w:rsid w:val="5D0E1DEC"/>
    <w:rsid w:val="5DED7B3D"/>
    <w:rsid w:val="5EA881BC"/>
    <w:rsid w:val="5F54E0F4"/>
    <w:rsid w:val="601835D9"/>
    <w:rsid w:val="6038DD0B"/>
    <w:rsid w:val="607BDFF8"/>
    <w:rsid w:val="611F255F"/>
    <w:rsid w:val="63A8AAB6"/>
    <w:rsid w:val="6505EE35"/>
    <w:rsid w:val="665BA14E"/>
    <w:rsid w:val="66E85AE3"/>
    <w:rsid w:val="6983326C"/>
    <w:rsid w:val="69A46DDD"/>
    <w:rsid w:val="69A4DD4D"/>
    <w:rsid w:val="6A694912"/>
    <w:rsid w:val="6B4BC174"/>
    <w:rsid w:val="6CB7CFF9"/>
    <w:rsid w:val="6DDF0E7C"/>
    <w:rsid w:val="6ED842FD"/>
    <w:rsid w:val="7135FFCB"/>
    <w:rsid w:val="72E0AB66"/>
    <w:rsid w:val="72F4299E"/>
    <w:rsid w:val="7454F712"/>
    <w:rsid w:val="77946D94"/>
    <w:rsid w:val="79430EB1"/>
    <w:rsid w:val="7A3342AD"/>
    <w:rsid w:val="7A4A4CCC"/>
    <w:rsid w:val="7A647B29"/>
    <w:rsid w:val="7A732934"/>
    <w:rsid w:val="7B973D10"/>
    <w:rsid w:val="7CBA3E59"/>
    <w:rsid w:val="7CFA8E9F"/>
    <w:rsid w:val="7E0769A9"/>
    <w:rsid w:val="7F37F042"/>
    <w:rsid w:val="7F5D61DA"/>
    <w:rsid w:val="7FA552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F63B3"/>
  <w15:chartTrackingRefBased/>
  <w15:docId w15:val="{D0B302DD-D5AD-4C93-A782-1DD99F7C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548"/>
    <w:pPr>
      <w:ind w:left="720"/>
      <w:contextualSpacing/>
    </w:pPr>
  </w:style>
  <w:style w:type="character" w:styleId="Marquedecommentaire">
    <w:name w:val="annotation reference"/>
    <w:basedOn w:val="Policepardfaut"/>
    <w:uiPriority w:val="99"/>
    <w:semiHidden/>
    <w:unhideWhenUsed/>
    <w:rsid w:val="00280149"/>
    <w:rPr>
      <w:sz w:val="16"/>
      <w:szCs w:val="16"/>
    </w:rPr>
  </w:style>
  <w:style w:type="paragraph" w:styleId="Commentaire">
    <w:name w:val="annotation text"/>
    <w:basedOn w:val="Normal"/>
    <w:link w:val="CommentaireCar"/>
    <w:uiPriority w:val="99"/>
    <w:unhideWhenUsed/>
    <w:rsid w:val="00280149"/>
    <w:pPr>
      <w:spacing w:line="240" w:lineRule="auto"/>
    </w:pPr>
    <w:rPr>
      <w:sz w:val="20"/>
      <w:szCs w:val="20"/>
    </w:rPr>
  </w:style>
  <w:style w:type="character" w:customStyle="1" w:styleId="CommentaireCar">
    <w:name w:val="Commentaire Car"/>
    <w:basedOn w:val="Policepardfaut"/>
    <w:link w:val="Commentaire"/>
    <w:uiPriority w:val="99"/>
    <w:rsid w:val="00280149"/>
    <w:rPr>
      <w:sz w:val="20"/>
      <w:szCs w:val="20"/>
    </w:rPr>
  </w:style>
  <w:style w:type="paragraph" w:styleId="Objetducommentaire">
    <w:name w:val="annotation subject"/>
    <w:basedOn w:val="Commentaire"/>
    <w:next w:val="Commentaire"/>
    <w:link w:val="ObjetducommentaireCar"/>
    <w:uiPriority w:val="99"/>
    <w:semiHidden/>
    <w:unhideWhenUsed/>
    <w:rsid w:val="00280149"/>
    <w:rPr>
      <w:b/>
      <w:bCs/>
    </w:rPr>
  </w:style>
  <w:style w:type="character" w:customStyle="1" w:styleId="ObjetducommentaireCar">
    <w:name w:val="Objet du commentaire Car"/>
    <w:basedOn w:val="CommentaireCar"/>
    <w:link w:val="Objetducommentaire"/>
    <w:uiPriority w:val="99"/>
    <w:semiHidden/>
    <w:rsid w:val="00280149"/>
    <w:rPr>
      <w:b/>
      <w:bCs/>
      <w:sz w:val="20"/>
      <w:szCs w:val="20"/>
    </w:rPr>
  </w:style>
  <w:style w:type="character" w:customStyle="1" w:styleId="normaltextrun">
    <w:name w:val="normaltextrun"/>
    <w:basedOn w:val="Policepardfaut"/>
    <w:rsid w:val="0096318F"/>
  </w:style>
  <w:style w:type="character" w:customStyle="1" w:styleId="eop">
    <w:name w:val="eop"/>
    <w:basedOn w:val="Policepardfaut"/>
    <w:rsid w:val="0096318F"/>
  </w:style>
  <w:style w:type="character" w:customStyle="1" w:styleId="spellingerrorsuperscript">
    <w:name w:val="spellingerrorsuperscript"/>
    <w:basedOn w:val="Policepardfaut"/>
    <w:rsid w:val="00BD1FD3"/>
  </w:style>
  <w:style w:type="paragraph" w:styleId="Rvision">
    <w:name w:val="Revision"/>
    <w:hidden/>
    <w:uiPriority w:val="99"/>
    <w:semiHidden/>
    <w:rsid w:val="00230BBB"/>
    <w:pPr>
      <w:spacing w:after="0" w:line="240" w:lineRule="auto"/>
    </w:pPr>
  </w:style>
  <w:style w:type="character" w:styleId="Mention">
    <w:name w:val="Mention"/>
    <w:basedOn w:val="Policepardfaut"/>
    <w:uiPriority w:val="99"/>
    <w:unhideWhenUsed/>
    <w:rsid w:val="00416B60"/>
    <w:rPr>
      <w:color w:val="2B579A"/>
      <w:shd w:val="clear" w:color="auto" w:fill="E1DFDD"/>
    </w:rPr>
  </w:style>
  <w:style w:type="character" w:styleId="Lienhypertexte">
    <w:name w:val="Hyperlink"/>
    <w:basedOn w:val="Policepardfaut"/>
    <w:uiPriority w:val="99"/>
    <w:unhideWhenUsed/>
    <w:rsid w:val="008E56F6"/>
    <w:rPr>
      <w:color w:val="0563C1" w:themeColor="hyperlink"/>
      <w:u w:val="single"/>
    </w:rPr>
  </w:style>
  <w:style w:type="character" w:styleId="Mentionnonrsolue">
    <w:name w:val="Unresolved Mention"/>
    <w:basedOn w:val="Policepardfaut"/>
    <w:uiPriority w:val="99"/>
    <w:semiHidden/>
    <w:unhideWhenUsed/>
    <w:rsid w:val="008E56F6"/>
    <w:rPr>
      <w:color w:val="605E5C"/>
      <w:shd w:val="clear" w:color="auto" w:fill="E1DFDD"/>
    </w:rPr>
  </w:style>
  <w:style w:type="paragraph" w:styleId="En-tte">
    <w:name w:val="header"/>
    <w:basedOn w:val="Normal"/>
    <w:link w:val="En-tteCar"/>
    <w:uiPriority w:val="99"/>
    <w:unhideWhenUsed/>
    <w:rsid w:val="00F15D47"/>
    <w:pPr>
      <w:tabs>
        <w:tab w:val="center" w:pos="4513"/>
        <w:tab w:val="right" w:pos="9026"/>
      </w:tabs>
      <w:spacing w:after="0" w:line="240" w:lineRule="auto"/>
    </w:pPr>
  </w:style>
  <w:style w:type="character" w:customStyle="1" w:styleId="En-tteCar">
    <w:name w:val="En-tête Car"/>
    <w:basedOn w:val="Policepardfaut"/>
    <w:link w:val="En-tte"/>
    <w:uiPriority w:val="99"/>
    <w:rsid w:val="00F15D47"/>
  </w:style>
  <w:style w:type="paragraph" w:styleId="Pieddepage">
    <w:name w:val="footer"/>
    <w:basedOn w:val="Normal"/>
    <w:link w:val="PieddepageCar"/>
    <w:uiPriority w:val="99"/>
    <w:unhideWhenUsed/>
    <w:rsid w:val="00F15D4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15D47"/>
  </w:style>
  <w:style w:type="paragraph" w:styleId="NormalWeb">
    <w:name w:val="Normal (Web)"/>
    <w:basedOn w:val="Normal"/>
    <w:uiPriority w:val="99"/>
    <w:unhideWhenUsed/>
    <w:rsid w:val="00C909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1713BF"/>
    <w:rPr>
      <w:color w:val="954F72" w:themeColor="followedHyperlink"/>
      <w:u w:val="single"/>
    </w:rPr>
  </w:style>
  <w:style w:type="paragraph" w:styleId="Notedefin">
    <w:name w:val="endnote text"/>
    <w:basedOn w:val="Normal"/>
    <w:link w:val="NotedefinCar"/>
    <w:uiPriority w:val="99"/>
    <w:semiHidden/>
    <w:unhideWhenUsed/>
    <w:rsid w:val="003555BE"/>
    <w:pPr>
      <w:spacing w:after="0" w:line="240" w:lineRule="auto"/>
    </w:pPr>
    <w:rPr>
      <w:sz w:val="20"/>
      <w:szCs w:val="20"/>
    </w:rPr>
  </w:style>
  <w:style w:type="character" w:customStyle="1" w:styleId="NotedefinCar">
    <w:name w:val="Note de fin Car"/>
    <w:basedOn w:val="Policepardfaut"/>
    <w:link w:val="Notedefin"/>
    <w:uiPriority w:val="99"/>
    <w:semiHidden/>
    <w:rsid w:val="003555BE"/>
    <w:rPr>
      <w:sz w:val="20"/>
      <w:szCs w:val="20"/>
    </w:rPr>
  </w:style>
  <w:style w:type="character" w:styleId="Appeldenotedefin">
    <w:name w:val="endnote reference"/>
    <w:basedOn w:val="Policepardfaut"/>
    <w:uiPriority w:val="99"/>
    <w:semiHidden/>
    <w:unhideWhenUsed/>
    <w:rsid w:val="003555BE"/>
    <w:rPr>
      <w:vertAlign w:val="superscript"/>
    </w:rPr>
  </w:style>
  <w:style w:type="paragraph" w:customStyle="1" w:styleId="paragraph">
    <w:name w:val="paragraph"/>
    <w:basedOn w:val="Normal"/>
    <w:rsid w:val="000D19E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23">
      <w:bodyDiv w:val="1"/>
      <w:marLeft w:val="0"/>
      <w:marRight w:val="0"/>
      <w:marTop w:val="0"/>
      <w:marBottom w:val="0"/>
      <w:divBdr>
        <w:top w:val="none" w:sz="0" w:space="0" w:color="auto"/>
        <w:left w:val="none" w:sz="0" w:space="0" w:color="auto"/>
        <w:bottom w:val="none" w:sz="0" w:space="0" w:color="auto"/>
        <w:right w:val="none" w:sz="0" w:space="0" w:color="auto"/>
      </w:divBdr>
    </w:div>
    <w:div w:id="236324857">
      <w:bodyDiv w:val="1"/>
      <w:marLeft w:val="0"/>
      <w:marRight w:val="0"/>
      <w:marTop w:val="0"/>
      <w:marBottom w:val="0"/>
      <w:divBdr>
        <w:top w:val="none" w:sz="0" w:space="0" w:color="auto"/>
        <w:left w:val="none" w:sz="0" w:space="0" w:color="auto"/>
        <w:bottom w:val="none" w:sz="0" w:space="0" w:color="auto"/>
        <w:right w:val="none" w:sz="0" w:space="0" w:color="auto"/>
      </w:divBdr>
    </w:div>
    <w:div w:id="746343012">
      <w:bodyDiv w:val="1"/>
      <w:marLeft w:val="0"/>
      <w:marRight w:val="0"/>
      <w:marTop w:val="0"/>
      <w:marBottom w:val="0"/>
      <w:divBdr>
        <w:top w:val="none" w:sz="0" w:space="0" w:color="auto"/>
        <w:left w:val="none" w:sz="0" w:space="0" w:color="auto"/>
        <w:bottom w:val="none" w:sz="0" w:space="0" w:color="auto"/>
        <w:right w:val="none" w:sz="0" w:space="0" w:color="auto"/>
      </w:divBdr>
    </w:div>
    <w:div w:id="1158380220">
      <w:bodyDiv w:val="1"/>
      <w:marLeft w:val="0"/>
      <w:marRight w:val="0"/>
      <w:marTop w:val="0"/>
      <w:marBottom w:val="0"/>
      <w:divBdr>
        <w:top w:val="none" w:sz="0" w:space="0" w:color="auto"/>
        <w:left w:val="none" w:sz="0" w:space="0" w:color="auto"/>
        <w:bottom w:val="none" w:sz="0" w:space="0" w:color="auto"/>
        <w:right w:val="none" w:sz="0" w:space="0" w:color="auto"/>
      </w:divBdr>
    </w:div>
    <w:div w:id="20132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erre-fabre.com/fr" TargetMode="External"/><Relationship Id="rId18" Type="http://schemas.openxmlformats.org/officeDocument/2006/relationships/hyperlink" Target="https://www.atarabio.com/" TargetMode="External"/><Relationship Id="rId3" Type="http://schemas.openxmlformats.org/officeDocument/2006/relationships/customXml" Target="../customXml/item3.xml"/><Relationship Id="rId21" Type="http://schemas.openxmlformats.org/officeDocument/2006/relationships/hyperlink" Target="mailto:laure.sgandurra@pierre-fabr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witter.com/atarabi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arabio.com/" TargetMode="External"/><Relationship Id="rId20" Type="http://schemas.openxmlformats.org/officeDocument/2006/relationships/hyperlink" Target="https://www.linkedin.com/company/atarab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ierre-fabre.com/" TargetMode="External"/><Relationship Id="rId23" Type="http://schemas.openxmlformats.org/officeDocument/2006/relationships/hyperlink" Target="mailto:achapman@atarabio.com" TargetMode="External"/><Relationship Id="rId10" Type="http://schemas.openxmlformats.org/officeDocument/2006/relationships/endnotes" Target="endnotes.xml"/><Relationship Id="rId19" Type="http://schemas.openxmlformats.org/officeDocument/2006/relationships/hyperlink" Target="https://twitter.com/atarab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arabio.com/" TargetMode="External"/><Relationship Id="rId22" Type="http://schemas.openxmlformats.org/officeDocument/2006/relationships/hyperlink" Target="mailto:ehyllengren@atara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11c0f14-36a9-4e3f-a42f-feea1c77c56c">
      <UserInfo>
        <DisplayName>BLANC Elodie</DisplayName>
        <AccountId>19</AccountId>
        <AccountType/>
      </UserInfo>
      <UserInfo>
        <DisplayName>POCCARD CHAPUIS Laetitia</DisplayName>
        <AccountId>13</AccountId>
        <AccountType/>
      </UserInfo>
      <UserInfo>
        <DisplayName>PERDRIX THOMAS Caroline</DisplayName>
        <AccountId>16</AccountId>
        <AccountType/>
      </UserInfo>
      <UserInfo>
        <DisplayName>DESGRIPPES Julien</DisplayName>
        <AccountId>15</AccountId>
        <AccountType/>
      </UserInfo>
      <UserInfo>
        <DisplayName>DENJEAN Francois</DisplayName>
        <AccountId>22</AccountId>
        <AccountType/>
      </UserInfo>
      <UserInfo>
        <DisplayName>SERGEANT Clementine</DisplayName>
        <AccountId>18</AccountId>
        <AccountType/>
      </UserInfo>
      <UserInfo>
        <DisplayName>CHELLI Maurice</DisplayName>
        <AccountId>12</AccountId>
        <AccountType/>
      </UserInfo>
      <UserInfo>
        <DisplayName>PROVENDIER Olivier</DisplayName>
        <AccountId>11</AccountId>
        <AccountType/>
      </UserInfo>
      <UserInfo>
        <DisplayName>VALENTI Roberta</DisplayName>
        <AccountId>20</AccountId>
        <AccountType/>
      </UserInfo>
      <UserInfo>
        <DisplayName>BLANCHET Sophie</DisplayName>
        <AccountId>17</AccountId>
        <AccountType/>
      </UserInfo>
      <UserInfo>
        <DisplayName>COLOMB DIACONO Marie</DisplayName>
        <AccountId>14</AccountId>
        <AccountType/>
      </UserInfo>
      <UserInfo>
        <DisplayName>MASCARIN Laurence</DisplayName>
        <AccountId>21</AccountId>
        <AccountType/>
      </UserInfo>
      <UserInfo>
        <DisplayName>THOMAS PUJOL Nathalie</DisplayName>
        <AccountId>10</AccountId>
        <AccountType/>
      </UserInfo>
    </SharedWithUsers>
    <lcf76f155ced4ddcb4097134ff3c332f xmlns="e1dd17f0-7ef6-49f4-b256-590dd291fe5b">
      <Terms xmlns="http://schemas.microsoft.com/office/infopath/2007/PartnerControls"/>
    </lcf76f155ced4ddcb4097134ff3c332f>
    <TaxCatchAll xmlns="611c0f14-36a9-4e3f-a42f-feea1c77c5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8AB0FE9996D14D9F62ACE8D59278AE" ma:contentTypeVersion="17" ma:contentTypeDescription="Crée un document." ma:contentTypeScope="" ma:versionID="67db453277bc9977f80f08febda898ed">
  <xsd:schema xmlns:xsd="http://www.w3.org/2001/XMLSchema" xmlns:xs="http://www.w3.org/2001/XMLSchema" xmlns:p="http://schemas.microsoft.com/office/2006/metadata/properties" xmlns:ns2="e1dd17f0-7ef6-49f4-b256-590dd291fe5b" xmlns:ns3="611c0f14-36a9-4e3f-a42f-feea1c77c56c" targetNamespace="http://schemas.microsoft.com/office/2006/metadata/properties" ma:root="true" ma:fieldsID="cf1a7b2ffcc6b96f42c032a2f08aaab8" ns2:_="" ns3:_="">
    <xsd:import namespace="e1dd17f0-7ef6-49f4-b256-590dd291fe5b"/>
    <xsd:import namespace="611c0f14-36a9-4e3f-a42f-feea1c77c56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d17f0-7ef6-49f4-b256-590dd291f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c0f14-36a9-4e3f-a42f-feea1c77c56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3aa0423-6cd8-4231-aafd-a892e45fcfa5}" ma:internalName="TaxCatchAll" ma:showField="CatchAllData" ma:web="611c0f14-36a9-4e3f-a42f-feea1c77c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EACAF-4A99-44BC-9639-ACB84D36DC08}">
  <ds:schemaRefs>
    <ds:schemaRef ds:uri="http://schemas.microsoft.com/sharepoint/v3/contenttype/forms"/>
  </ds:schemaRefs>
</ds:datastoreItem>
</file>

<file path=customXml/itemProps2.xml><?xml version="1.0" encoding="utf-8"?>
<ds:datastoreItem xmlns:ds="http://schemas.openxmlformats.org/officeDocument/2006/customXml" ds:itemID="{D0D8FD9A-A2BD-4DD7-BBE2-C10E3DDDAC91}">
  <ds:schemaRefs>
    <ds:schemaRef ds:uri="http://schemas.openxmlformats.org/officeDocument/2006/bibliography"/>
  </ds:schemaRefs>
</ds:datastoreItem>
</file>

<file path=customXml/itemProps3.xml><?xml version="1.0" encoding="utf-8"?>
<ds:datastoreItem xmlns:ds="http://schemas.openxmlformats.org/officeDocument/2006/customXml" ds:itemID="{F1B48E52-161E-4CD4-8F85-70EF65933B8A}">
  <ds:schemaRefs>
    <ds:schemaRef ds:uri="http://schemas.microsoft.com/office/2006/metadata/properties"/>
    <ds:schemaRef ds:uri="http://schemas.microsoft.com/office/infopath/2007/PartnerControls"/>
    <ds:schemaRef ds:uri="0233f4c5-9077-4b9e-9c07-fd69b43481c1"/>
    <ds:schemaRef ds:uri="678af549-829c-499b-8924-69eccbe35a0b"/>
  </ds:schemaRefs>
</ds:datastoreItem>
</file>

<file path=customXml/itemProps4.xml><?xml version="1.0" encoding="utf-8"?>
<ds:datastoreItem xmlns:ds="http://schemas.openxmlformats.org/officeDocument/2006/customXml" ds:itemID="{AE6DF3B2-F8C8-4331-B928-D988E9B784DC}"/>
</file>

<file path=docMetadata/LabelInfo.xml><?xml version="1.0" encoding="utf-8"?>
<clbl:labelList xmlns:clbl="http://schemas.microsoft.com/office/2020/mipLabelMetadata">
  <clbl:label id="{76cfb400-ab12-485f-8c0c-dca5fe3c2fdd}" enabled="0" method="" siteId="{76cfb400-ab12-485f-8c0c-dca5fe3c2fdd}" removed="1"/>
</clbl:labelList>
</file>

<file path=docProps/app.xml><?xml version="1.0" encoding="utf-8"?>
<Properties xmlns="http://schemas.openxmlformats.org/officeDocument/2006/extended-properties" xmlns:vt="http://schemas.openxmlformats.org/officeDocument/2006/docPropsVTypes">
  <Template>Normal</Template>
  <TotalTime>3800</TotalTime>
  <Pages>3</Pages>
  <Words>1338</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Armstrong</dc:creator>
  <cp:keywords/>
  <dc:description/>
  <cp:lastModifiedBy>MASCARIN Laurence</cp:lastModifiedBy>
  <cp:revision>28</cp:revision>
  <cp:lastPrinted>2022-12-09T02:54:00Z</cp:lastPrinted>
  <dcterms:created xsi:type="dcterms:W3CDTF">2023-02-03T17:35:00Z</dcterms:created>
  <dcterms:modified xsi:type="dcterms:W3CDTF">2023-02-08T10:25:00Z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0x010100AA8AB0FE9996D14D9F62ACE8D59278AE</vt:lpwstr>
  </property>
  <property fmtid="{D5CDD505-2E9C-101B-9397-08002B2CF9AE}" pid="3" name="MediaServiceImageTags">
    <vt:lpwstr/>
  </property>
</Properties>
</file>